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D6CEB" w14:textId="37C09BAB" w:rsidR="00E203C2" w:rsidRDefault="00E203C2" w:rsidP="00E203C2">
      <w:r>
        <w:rPr>
          <w:noProof/>
          <w:lang w:eastAsia="en-GB" w:bidi="ar-SA"/>
        </w:rPr>
        <w:drawing>
          <wp:inline distT="0" distB="0" distL="0" distR="0" wp14:anchorId="7E8E1583" wp14:editId="2BDC4D95">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64A84D95" w14:textId="77777777" w:rsidR="00E203C2" w:rsidRPr="008C1762" w:rsidRDefault="00E203C2" w:rsidP="00E203C2"/>
    <w:p w14:paraId="27B541A5" w14:textId="630DEF4D" w:rsidR="00CA641D" w:rsidRPr="008C1762" w:rsidRDefault="008C1762" w:rsidP="00CA641D">
      <w:pPr>
        <w:rPr>
          <w:b/>
          <w:sz w:val="28"/>
          <w:szCs w:val="28"/>
        </w:rPr>
      </w:pPr>
      <w:r w:rsidRPr="008C1762">
        <w:rPr>
          <w:b/>
          <w:sz w:val="28"/>
          <w:szCs w:val="28"/>
        </w:rPr>
        <w:t>25</w:t>
      </w:r>
      <w:r w:rsidR="00CA641D" w:rsidRPr="008C1762">
        <w:rPr>
          <w:b/>
          <w:sz w:val="28"/>
          <w:szCs w:val="28"/>
        </w:rPr>
        <w:t xml:space="preserve"> </w:t>
      </w:r>
      <w:r w:rsidR="00485BD2" w:rsidRPr="008C1762">
        <w:rPr>
          <w:b/>
          <w:sz w:val="28"/>
          <w:szCs w:val="28"/>
        </w:rPr>
        <w:t>January</w:t>
      </w:r>
      <w:r w:rsidR="00CA641D" w:rsidRPr="008C1762">
        <w:rPr>
          <w:b/>
          <w:sz w:val="28"/>
          <w:szCs w:val="28"/>
        </w:rPr>
        <w:t xml:space="preserve"> 20</w:t>
      </w:r>
      <w:r w:rsidR="00A05DF6" w:rsidRPr="008C1762">
        <w:rPr>
          <w:b/>
          <w:sz w:val="28"/>
          <w:szCs w:val="28"/>
        </w:rPr>
        <w:t>2</w:t>
      </w:r>
      <w:r w:rsidR="00485BD2" w:rsidRPr="008C1762">
        <w:rPr>
          <w:b/>
          <w:sz w:val="28"/>
          <w:szCs w:val="28"/>
        </w:rPr>
        <w:t>3</w:t>
      </w:r>
    </w:p>
    <w:p w14:paraId="05C87EAC" w14:textId="77777777" w:rsidR="0057615C" w:rsidRPr="008C1762" w:rsidRDefault="0057615C" w:rsidP="00690206">
      <w:pPr>
        <w:pStyle w:val="FSTitle"/>
        <w:rPr>
          <w:b/>
          <w:sz w:val="22"/>
        </w:rPr>
      </w:pPr>
    </w:p>
    <w:p w14:paraId="77B046B3" w14:textId="271AF7A9" w:rsidR="00092CDA" w:rsidRPr="005B7A73" w:rsidRDefault="00A05DF6" w:rsidP="00690206">
      <w:pPr>
        <w:pStyle w:val="FSTitle"/>
        <w:rPr>
          <w:b/>
        </w:rPr>
      </w:pPr>
      <w:r w:rsidRPr="008C1762">
        <w:rPr>
          <w:b/>
        </w:rPr>
        <w:t>P1010</w:t>
      </w:r>
      <w:r>
        <w:rPr>
          <w:b/>
        </w:rPr>
        <w:t xml:space="preserve"> – Formulated Supplementary Sports Foods</w:t>
      </w:r>
    </w:p>
    <w:p w14:paraId="40954666" w14:textId="77777777" w:rsidR="00BA24E2" w:rsidRDefault="00BA24E2" w:rsidP="00E203C2"/>
    <w:p w14:paraId="39BA9D2F" w14:textId="4CDC6FF2" w:rsidR="00D056F1" w:rsidRPr="00A05DF6" w:rsidRDefault="00A05DF6" w:rsidP="00690206">
      <w:pPr>
        <w:pStyle w:val="FSTitle"/>
        <w:rPr>
          <w:sz w:val="28"/>
          <w:szCs w:val="28"/>
        </w:rPr>
      </w:pPr>
      <w:r w:rsidRPr="4DBF8B01">
        <w:rPr>
          <w:sz w:val="28"/>
          <w:szCs w:val="28"/>
        </w:rPr>
        <w:t>Consultation Paper One</w:t>
      </w:r>
      <w:r w:rsidR="6A78565F" w:rsidRPr="4DBF8B01">
        <w:rPr>
          <w:sz w:val="28"/>
          <w:szCs w:val="28"/>
        </w:rPr>
        <w:t>:</w:t>
      </w:r>
      <w:r w:rsidRPr="4DBF8B01">
        <w:rPr>
          <w:sz w:val="28"/>
          <w:szCs w:val="28"/>
        </w:rPr>
        <w:t xml:space="preserve"> Regulatory Framework for Standard 2.9.4</w:t>
      </w:r>
    </w:p>
    <w:p w14:paraId="472CDDA7" w14:textId="77777777" w:rsidR="00E203C2" w:rsidRPr="00690206" w:rsidRDefault="00E203C2" w:rsidP="00690206"/>
    <w:p w14:paraId="7DA75953" w14:textId="77777777" w:rsidR="00E203C2" w:rsidRPr="00B37BF0" w:rsidRDefault="00E203C2" w:rsidP="00E203C2">
      <w:pPr>
        <w:pBdr>
          <w:bottom w:val="single" w:sz="12" w:space="1" w:color="auto"/>
        </w:pBdr>
        <w:spacing w:line="280" w:lineRule="exact"/>
        <w:rPr>
          <w:rFonts w:cs="Arial"/>
          <w:bCs/>
        </w:rPr>
      </w:pPr>
    </w:p>
    <w:p w14:paraId="181AB52C" w14:textId="77777777" w:rsidR="00E203C2" w:rsidRPr="00B37BF0" w:rsidRDefault="00E203C2" w:rsidP="00E203C2"/>
    <w:p w14:paraId="53A521BD" w14:textId="7586D83E" w:rsidR="00092CDA" w:rsidRPr="00092CDA" w:rsidRDefault="00092CDA" w:rsidP="00052CBF">
      <w:pPr>
        <w:pStyle w:val="Heading1"/>
        <w:numPr>
          <w:ilvl w:val="0"/>
          <w:numId w:val="0"/>
        </w:numPr>
      </w:pPr>
      <w:bookmarkStart w:id="0" w:name="_Toc286391001"/>
      <w:bookmarkStart w:id="1" w:name="_Toc300933414"/>
      <w:bookmarkStart w:id="2" w:name="_Toc122602184"/>
      <w:r>
        <w:t xml:space="preserve">Executive </w:t>
      </w:r>
      <w:r w:rsidR="00B12F1E">
        <w:t>s</w:t>
      </w:r>
      <w:r>
        <w:t>ummary</w:t>
      </w:r>
      <w:bookmarkEnd w:id="0"/>
      <w:bookmarkEnd w:id="1"/>
      <w:bookmarkEnd w:id="2"/>
    </w:p>
    <w:p w14:paraId="36BF5B6B" w14:textId="0AA3C9FF" w:rsidR="00A05DF6" w:rsidRPr="001F55CA" w:rsidRDefault="00A05DF6" w:rsidP="006B18A1">
      <w:pPr>
        <w:spacing w:after="160"/>
        <w:rPr>
          <w:rStyle w:val="normaltextrun"/>
          <w:rFonts w:cstheme="minorBidi"/>
          <w:color w:val="000000"/>
        </w:rPr>
      </w:pPr>
      <w:r w:rsidRPr="0E77EA93">
        <w:rPr>
          <w:rStyle w:val="normaltextrun"/>
          <w:rFonts w:cstheme="minorBidi"/>
          <w:color w:val="000000" w:themeColor="text1"/>
        </w:rPr>
        <w:t xml:space="preserve">Food Standards Australia New Zealand (FSANZ) is reviewing regulatory requirements for formulated supplementary sports food (FSSF) products under Proposal P1010. </w:t>
      </w:r>
      <w:r w:rsidR="00E86D70">
        <w:rPr>
          <w:rStyle w:val="normaltextrun"/>
          <w:rFonts w:cstheme="minorBidi"/>
          <w:color w:val="000000" w:themeColor="text1"/>
        </w:rPr>
        <w:t>Sports foods</w:t>
      </w:r>
      <w:r w:rsidRPr="0E77EA93">
        <w:rPr>
          <w:rStyle w:val="normaltextrun"/>
          <w:rFonts w:cstheme="minorBidi"/>
          <w:color w:val="000000" w:themeColor="text1"/>
        </w:rPr>
        <w:t xml:space="preserve"> are regulated in the Australia New Zealand Food Standards Code (the Code) under Standard 2.9.4 – Formulated supplementary sports foods and Schedule 29 – Special purpose foods. Other standards also contain provisions related to definitions, calculations, labelling and nutrition and health claims. Proposal P1010 is reviewing all aspects of Standard 2.9.4. </w:t>
      </w:r>
    </w:p>
    <w:p w14:paraId="6622E4D2" w14:textId="3AA62CB4" w:rsidR="00A05DF6" w:rsidRDefault="0D35B6CC" w:rsidP="006B18A1">
      <w:pPr>
        <w:spacing w:after="160"/>
        <w:rPr>
          <w:lang w:eastAsia="en-AU"/>
        </w:rPr>
      </w:pPr>
      <w:r w:rsidRPr="5E7CA050">
        <w:rPr>
          <w:rStyle w:val="normaltextrun"/>
          <w:rFonts w:cstheme="minorBidi"/>
          <w:color w:val="000000" w:themeColor="text1"/>
        </w:rPr>
        <w:t xml:space="preserve">The protection of public health and safety is a primary legislated objective for FSANZ. </w:t>
      </w:r>
      <w:r w:rsidR="000F0F66">
        <w:rPr>
          <w:rStyle w:val="normaltextrun"/>
          <w:rFonts w:cstheme="minorBidi"/>
          <w:color w:val="000000" w:themeColor="text1"/>
        </w:rPr>
        <w:t>Sports foods</w:t>
      </w:r>
      <w:r w:rsidR="000F0F66" w:rsidRPr="5E7CA050">
        <w:rPr>
          <w:rStyle w:val="normaltextrun"/>
          <w:rFonts w:cstheme="minorBidi"/>
          <w:color w:val="000000" w:themeColor="text1"/>
        </w:rPr>
        <w:t xml:space="preserve"> </w:t>
      </w:r>
      <w:r w:rsidRPr="5E7CA050">
        <w:rPr>
          <w:rStyle w:val="normaltextrun"/>
          <w:rFonts w:cstheme="minorBidi"/>
          <w:color w:val="000000" w:themeColor="text1"/>
        </w:rPr>
        <w:t xml:space="preserve">must be safe for consumption and, as special purpose foods, their composition must support those vulnerable to dietary inadequacy in the context of </w:t>
      </w:r>
      <w:r w:rsidR="79D23A65" w:rsidRPr="5E7CA050">
        <w:rPr>
          <w:rStyle w:val="normaltextrun"/>
          <w:rFonts w:cstheme="minorBidi"/>
          <w:color w:val="000000" w:themeColor="text1"/>
        </w:rPr>
        <w:t>sport p</w:t>
      </w:r>
      <w:r w:rsidR="4DC60B7D" w:rsidRPr="5E7CA050">
        <w:rPr>
          <w:rStyle w:val="normaltextrun"/>
          <w:rFonts w:cstheme="minorBidi"/>
          <w:color w:val="000000" w:themeColor="text1"/>
        </w:rPr>
        <w:t>er</w:t>
      </w:r>
      <w:r w:rsidR="79D23A65" w:rsidRPr="5E7CA050">
        <w:rPr>
          <w:rStyle w:val="normaltextrun"/>
          <w:rFonts w:cstheme="minorBidi"/>
          <w:color w:val="000000" w:themeColor="text1"/>
        </w:rPr>
        <w:t>formance</w:t>
      </w:r>
      <w:r w:rsidRPr="5E7CA050">
        <w:rPr>
          <w:rStyle w:val="normaltextrun"/>
          <w:rFonts w:cstheme="minorBidi"/>
          <w:color w:val="000000" w:themeColor="text1"/>
        </w:rPr>
        <w:t xml:space="preserve">. </w:t>
      </w:r>
      <w:r w:rsidRPr="5E7CA050">
        <w:rPr>
          <w:lang w:eastAsia="en-AU"/>
        </w:rPr>
        <w:t xml:space="preserve">The purpose of this consultation paper is to gather views on how the current iteration of the standard is working for all stakeholders. </w:t>
      </w:r>
    </w:p>
    <w:p w14:paraId="2B6E4148" w14:textId="42113CF3" w:rsidR="00A05DF6" w:rsidRPr="001F55CA" w:rsidRDefault="0D35B6CC" w:rsidP="5E7CA050">
      <w:pPr>
        <w:spacing w:after="160"/>
        <w:rPr>
          <w:rStyle w:val="eop"/>
          <w:rFonts w:cstheme="minorBidi"/>
        </w:rPr>
      </w:pPr>
      <w:r w:rsidRPr="5E7CA050">
        <w:rPr>
          <w:rStyle w:val="normaltextrun"/>
          <w:rFonts w:cstheme="minorBidi"/>
        </w:rPr>
        <w:t xml:space="preserve">All submissions to consultation papers released as part of this Proposal will inform FSANZ’s assessment and </w:t>
      </w:r>
      <w:r w:rsidR="5EB2EEF3" w:rsidRPr="5E7CA050">
        <w:rPr>
          <w:rStyle w:val="normaltextrun"/>
          <w:rFonts w:cstheme="minorBidi"/>
        </w:rPr>
        <w:t xml:space="preserve">any </w:t>
      </w:r>
      <w:r w:rsidRPr="5E7CA050">
        <w:rPr>
          <w:rStyle w:val="normaltextrun"/>
          <w:rFonts w:cstheme="minorBidi"/>
        </w:rPr>
        <w:t>proposed amendments</w:t>
      </w:r>
      <w:r w:rsidR="25BAFDFC" w:rsidRPr="5E7CA050">
        <w:rPr>
          <w:rStyle w:val="normaltextrun"/>
          <w:rFonts w:cstheme="minorBidi"/>
        </w:rPr>
        <w:t xml:space="preserve"> to the Code</w:t>
      </w:r>
      <w:r w:rsidRPr="5E7CA050">
        <w:rPr>
          <w:rStyle w:val="normaltextrun"/>
          <w:rFonts w:cstheme="minorBidi"/>
        </w:rPr>
        <w:t xml:space="preserve">. </w:t>
      </w:r>
      <w:r>
        <w:t xml:space="preserve">Proposal P1010 is being assessed under </w:t>
      </w:r>
      <w:r w:rsidR="14EF693F">
        <w:t xml:space="preserve">a </w:t>
      </w:r>
      <w:r>
        <w:t xml:space="preserve">Major Procedure, meaning there will be two </w:t>
      </w:r>
      <w:r w:rsidR="0A61A936">
        <w:t xml:space="preserve">public </w:t>
      </w:r>
      <w:r>
        <w:t>calls for submissions as part of FSANZ’s formal assessment.</w:t>
      </w:r>
    </w:p>
    <w:p w14:paraId="3FCB2AD1" w14:textId="77777777" w:rsidR="00A05DF6" w:rsidRPr="00445748" w:rsidRDefault="00A05DF6" w:rsidP="006B18A1">
      <w:pPr>
        <w:spacing w:after="160"/>
        <w:rPr>
          <w:sz w:val="28"/>
          <w:szCs w:val="28"/>
        </w:rPr>
      </w:pPr>
      <w:r w:rsidRPr="0CB9A4C7">
        <w:rPr>
          <w:rStyle w:val="normaltextrun"/>
          <w:rFonts w:cstheme="minorBidi"/>
          <w:color w:val="000000" w:themeColor="text1"/>
        </w:rPr>
        <w:t xml:space="preserve">FSANZ is seeking stakeholder comment on the issues outlined in this consultation paper. Specific questions for stakeholders have been included </w:t>
      </w:r>
      <w:r>
        <w:rPr>
          <w:rStyle w:val="normaltextrun"/>
          <w:rFonts w:cstheme="minorBidi"/>
          <w:color w:val="000000" w:themeColor="text1"/>
        </w:rPr>
        <w:t>in each section as well as a</w:t>
      </w:r>
      <w:r w:rsidRPr="0CB9A4C7">
        <w:rPr>
          <w:rStyle w:val="normaltextrun"/>
          <w:rFonts w:cstheme="minorBidi"/>
          <w:color w:val="000000" w:themeColor="text1"/>
        </w:rPr>
        <w:t xml:space="preserve"> summary list in the final section of the paper.</w:t>
      </w:r>
      <w:r w:rsidRPr="0CB9A4C7">
        <w:rPr>
          <w:rStyle w:val="eop"/>
          <w:rFonts w:cstheme="minorBidi"/>
          <w:color w:val="000000" w:themeColor="text1"/>
        </w:rPr>
        <w:t> </w:t>
      </w:r>
    </w:p>
    <w:p w14:paraId="600DA37D" w14:textId="77777777" w:rsidR="00092CDA" w:rsidRDefault="00092CDA" w:rsidP="006B18A1">
      <w:pPr>
        <w:spacing w:after="160"/>
        <w:sectPr w:rsidR="00092CDA" w:rsidSect="0054272D">
          <w:headerReference w:type="even" r:id="rId14"/>
          <w:headerReference w:type="default" r:id="rId15"/>
          <w:footerReference w:type="even" r:id="rId16"/>
          <w:footerReference w:type="default" r:id="rId17"/>
          <w:headerReference w:type="first" r:id="rId18"/>
          <w:footerReference w:type="first" r:id="rId19"/>
          <w:pgSz w:w="11906" w:h="16838"/>
          <w:pgMar w:top="1418" w:right="1418" w:bottom="1418" w:left="1418" w:header="709" w:footer="709" w:gutter="0"/>
          <w:pgNumType w:fmt="lowerRoman" w:start="1"/>
          <w:cols w:space="708"/>
          <w:docGrid w:linePitch="360"/>
        </w:sectPr>
      </w:pPr>
    </w:p>
    <w:p w14:paraId="0645ED4C" w14:textId="184E0847" w:rsidR="00562917" w:rsidRPr="00D9620E" w:rsidRDefault="00562917" w:rsidP="001622AC">
      <w:pPr>
        <w:pStyle w:val="TOCHeading"/>
        <w:numPr>
          <w:ilvl w:val="0"/>
          <w:numId w:val="0"/>
        </w:numPr>
        <w:ind w:left="432"/>
      </w:pPr>
      <w:r w:rsidRPr="00D9620E">
        <w:lastRenderedPageBreak/>
        <w:t xml:space="preserve">Table of </w:t>
      </w:r>
      <w:r w:rsidR="00A77BFA" w:rsidRPr="00D9620E">
        <w:t>c</w:t>
      </w:r>
      <w:r w:rsidRPr="00D9620E">
        <w:t>ontents</w:t>
      </w:r>
    </w:p>
    <w:p w14:paraId="6F23877E" w14:textId="5B7A5692" w:rsidR="00862E71" w:rsidRDefault="00A30923">
      <w:pPr>
        <w:pStyle w:val="TOC1"/>
        <w:rPr>
          <w:rFonts w:eastAsiaTheme="minorEastAsia" w:cstheme="minorBidi"/>
          <w:b w:val="0"/>
          <w:bCs w:val="0"/>
          <w:caps w:val="0"/>
          <w:noProof/>
          <w:sz w:val="22"/>
          <w:szCs w:val="22"/>
          <w:lang w:val="en-AU" w:eastAsia="en-AU" w:bidi="ar-SA"/>
        </w:rPr>
      </w:pPr>
      <w:r>
        <w:fldChar w:fldCharType="begin"/>
      </w:r>
      <w:r w:rsidR="00326D85">
        <w:instrText>TOC \o "1-3" \h \z \u</w:instrText>
      </w:r>
      <w:r>
        <w:fldChar w:fldCharType="separate"/>
      </w:r>
      <w:hyperlink w:anchor="_Toc122602184" w:history="1">
        <w:r w:rsidR="00862E71" w:rsidRPr="00EF3AAD">
          <w:rPr>
            <w:rStyle w:val="Hyperlink"/>
            <w:noProof/>
          </w:rPr>
          <w:t>Executive summary</w:t>
        </w:r>
        <w:r w:rsidR="00862E71">
          <w:rPr>
            <w:noProof/>
            <w:webHidden/>
          </w:rPr>
          <w:tab/>
        </w:r>
        <w:r w:rsidR="00862E71">
          <w:rPr>
            <w:noProof/>
            <w:webHidden/>
          </w:rPr>
          <w:fldChar w:fldCharType="begin"/>
        </w:r>
        <w:r w:rsidR="00862E71">
          <w:rPr>
            <w:noProof/>
            <w:webHidden/>
          </w:rPr>
          <w:instrText xml:space="preserve"> PAGEREF _Toc122602184 \h </w:instrText>
        </w:r>
        <w:r w:rsidR="00862E71">
          <w:rPr>
            <w:noProof/>
            <w:webHidden/>
          </w:rPr>
        </w:r>
        <w:r w:rsidR="00862E71">
          <w:rPr>
            <w:noProof/>
            <w:webHidden/>
          </w:rPr>
          <w:fldChar w:fldCharType="separate"/>
        </w:r>
        <w:r w:rsidR="00862E71">
          <w:rPr>
            <w:noProof/>
            <w:webHidden/>
          </w:rPr>
          <w:t>i</w:t>
        </w:r>
        <w:r w:rsidR="00862E71">
          <w:rPr>
            <w:noProof/>
            <w:webHidden/>
          </w:rPr>
          <w:fldChar w:fldCharType="end"/>
        </w:r>
      </w:hyperlink>
    </w:p>
    <w:p w14:paraId="4111EB8E" w14:textId="70053249" w:rsidR="00862E71" w:rsidRDefault="00E75AFC">
      <w:pPr>
        <w:pStyle w:val="TOC1"/>
        <w:tabs>
          <w:tab w:val="left" w:pos="440"/>
        </w:tabs>
        <w:rPr>
          <w:rFonts w:eastAsiaTheme="minorEastAsia" w:cstheme="minorBidi"/>
          <w:b w:val="0"/>
          <w:bCs w:val="0"/>
          <w:caps w:val="0"/>
          <w:noProof/>
          <w:sz w:val="22"/>
          <w:szCs w:val="22"/>
          <w:lang w:val="en-AU" w:eastAsia="en-AU" w:bidi="ar-SA"/>
        </w:rPr>
      </w:pPr>
      <w:hyperlink w:anchor="_Toc122602185" w:history="1">
        <w:r w:rsidR="00862E71" w:rsidRPr="00EF3AAD">
          <w:rPr>
            <w:rStyle w:val="Hyperlink"/>
            <w:noProof/>
          </w:rPr>
          <w:t>1</w:t>
        </w:r>
        <w:r w:rsidR="00862E71">
          <w:rPr>
            <w:rFonts w:eastAsiaTheme="minorEastAsia" w:cstheme="minorBidi"/>
            <w:b w:val="0"/>
            <w:bCs w:val="0"/>
            <w:caps w:val="0"/>
            <w:noProof/>
            <w:sz w:val="22"/>
            <w:szCs w:val="22"/>
            <w:lang w:val="en-AU" w:eastAsia="en-AU" w:bidi="ar-SA"/>
          </w:rPr>
          <w:tab/>
        </w:r>
        <w:r w:rsidR="00862E71" w:rsidRPr="00EF3AAD">
          <w:rPr>
            <w:rStyle w:val="Hyperlink"/>
            <w:noProof/>
          </w:rPr>
          <w:t>Introduction</w:t>
        </w:r>
        <w:r w:rsidR="00862E71">
          <w:rPr>
            <w:noProof/>
            <w:webHidden/>
          </w:rPr>
          <w:tab/>
        </w:r>
        <w:r w:rsidR="00862E71">
          <w:rPr>
            <w:noProof/>
            <w:webHidden/>
          </w:rPr>
          <w:fldChar w:fldCharType="begin"/>
        </w:r>
        <w:r w:rsidR="00862E71">
          <w:rPr>
            <w:noProof/>
            <w:webHidden/>
          </w:rPr>
          <w:instrText xml:space="preserve"> PAGEREF _Toc122602185 \h </w:instrText>
        </w:r>
        <w:r w:rsidR="00862E71">
          <w:rPr>
            <w:noProof/>
            <w:webHidden/>
          </w:rPr>
        </w:r>
        <w:r w:rsidR="00862E71">
          <w:rPr>
            <w:noProof/>
            <w:webHidden/>
          </w:rPr>
          <w:fldChar w:fldCharType="separate"/>
        </w:r>
        <w:r w:rsidR="00862E71">
          <w:rPr>
            <w:noProof/>
            <w:webHidden/>
          </w:rPr>
          <w:t>3</w:t>
        </w:r>
        <w:r w:rsidR="00862E71">
          <w:rPr>
            <w:noProof/>
            <w:webHidden/>
          </w:rPr>
          <w:fldChar w:fldCharType="end"/>
        </w:r>
      </w:hyperlink>
    </w:p>
    <w:p w14:paraId="67867E06" w14:textId="1825C51B" w:rsidR="00862E71" w:rsidRDefault="00E75AFC">
      <w:pPr>
        <w:pStyle w:val="TOC2"/>
        <w:tabs>
          <w:tab w:val="left" w:pos="880"/>
          <w:tab w:val="right" w:leader="dot" w:pos="9060"/>
        </w:tabs>
        <w:rPr>
          <w:rFonts w:eastAsiaTheme="minorEastAsia" w:cstheme="minorBidi"/>
          <w:smallCaps w:val="0"/>
          <w:noProof/>
          <w:sz w:val="22"/>
          <w:szCs w:val="22"/>
          <w:lang w:val="en-AU" w:eastAsia="en-AU" w:bidi="ar-SA"/>
        </w:rPr>
      </w:pPr>
      <w:hyperlink w:anchor="_Toc122602186" w:history="1">
        <w:r w:rsidR="00862E71" w:rsidRPr="00EF3AAD">
          <w:rPr>
            <w:rStyle w:val="Hyperlink"/>
            <w:noProof/>
          </w:rPr>
          <w:t>1.1</w:t>
        </w:r>
        <w:r w:rsidR="00862E71">
          <w:rPr>
            <w:rFonts w:eastAsiaTheme="minorEastAsia" w:cstheme="minorBidi"/>
            <w:smallCaps w:val="0"/>
            <w:noProof/>
            <w:sz w:val="22"/>
            <w:szCs w:val="22"/>
            <w:lang w:val="en-AU" w:eastAsia="en-AU" w:bidi="ar-SA"/>
          </w:rPr>
          <w:tab/>
        </w:r>
        <w:r w:rsidR="00862E71" w:rsidRPr="00EF3AAD">
          <w:rPr>
            <w:rStyle w:val="Hyperlink"/>
            <w:noProof/>
          </w:rPr>
          <w:t>Purpose of consultation paper</w:t>
        </w:r>
        <w:r w:rsidR="00862E71">
          <w:rPr>
            <w:noProof/>
            <w:webHidden/>
          </w:rPr>
          <w:tab/>
        </w:r>
        <w:r w:rsidR="00862E71">
          <w:rPr>
            <w:noProof/>
            <w:webHidden/>
          </w:rPr>
          <w:fldChar w:fldCharType="begin"/>
        </w:r>
        <w:r w:rsidR="00862E71">
          <w:rPr>
            <w:noProof/>
            <w:webHidden/>
          </w:rPr>
          <w:instrText xml:space="preserve"> PAGEREF _Toc122602186 \h </w:instrText>
        </w:r>
        <w:r w:rsidR="00862E71">
          <w:rPr>
            <w:noProof/>
            <w:webHidden/>
          </w:rPr>
        </w:r>
        <w:r w:rsidR="00862E71">
          <w:rPr>
            <w:noProof/>
            <w:webHidden/>
          </w:rPr>
          <w:fldChar w:fldCharType="separate"/>
        </w:r>
        <w:r w:rsidR="00862E71">
          <w:rPr>
            <w:noProof/>
            <w:webHidden/>
          </w:rPr>
          <w:t>3</w:t>
        </w:r>
        <w:r w:rsidR="00862E71">
          <w:rPr>
            <w:noProof/>
            <w:webHidden/>
          </w:rPr>
          <w:fldChar w:fldCharType="end"/>
        </w:r>
      </w:hyperlink>
    </w:p>
    <w:p w14:paraId="2D9DAB69" w14:textId="72374A31" w:rsidR="00862E71" w:rsidRDefault="00E75AFC">
      <w:pPr>
        <w:pStyle w:val="TOC2"/>
        <w:tabs>
          <w:tab w:val="left" w:pos="880"/>
          <w:tab w:val="right" w:leader="dot" w:pos="9060"/>
        </w:tabs>
        <w:rPr>
          <w:rFonts w:eastAsiaTheme="minorEastAsia" w:cstheme="minorBidi"/>
          <w:smallCaps w:val="0"/>
          <w:noProof/>
          <w:sz w:val="22"/>
          <w:szCs w:val="22"/>
          <w:lang w:val="en-AU" w:eastAsia="en-AU" w:bidi="ar-SA"/>
        </w:rPr>
      </w:pPr>
      <w:hyperlink w:anchor="_Toc122602187" w:history="1">
        <w:r w:rsidR="00862E71" w:rsidRPr="00EF3AAD">
          <w:rPr>
            <w:rStyle w:val="Hyperlink"/>
            <w:noProof/>
          </w:rPr>
          <w:t>1.2</w:t>
        </w:r>
        <w:r w:rsidR="00862E71">
          <w:rPr>
            <w:rFonts w:eastAsiaTheme="minorEastAsia" w:cstheme="minorBidi"/>
            <w:smallCaps w:val="0"/>
            <w:noProof/>
            <w:sz w:val="22"/>
            <w:szCs w:val="22"/>
            <w:lang w:val="en-AU" w:eastAsia="en-AU" w:bidi="ar-SA"/>
          </w:rPr>
          <w:tab/>
        </w:r>
        <w:r w:rsidR="00862E71" w:rsidRPr="00EF3AAD">
          <w:rPr>
            <w:rStyle w:val="Hyperlink"/>
            <w:noProof/>
          </w:rPr>
          <w:t>Scope and approach</w:t>
        </w:r>
        <w:r w:rsidR="00862E71">
          <w:rPr>
            <w:noProof/>
            <w:webHidden/>
          </w:rPr>
          <w:tab/>
        </w:r>
        <w:r w:rsidR="00862E71">
          <w:rPr>
            <w:noProof/>
            <w:webHidden/>
          </w:rPr>
          <w:fldChar w:fldCharType="begin"/>
        </w:r>
        <w:r w:rsidR="00862E71">
          <w:rPr>
            <w:noProof/>
            <w:webHidden/>
          </w:rPr>
          <w:instrText xml:space="preserve"> PAGEREF _Toc122602187 \h </w:instrText>
        </w:r>
        <w:r w:rsidR="00862E71">
          <w:rPr>
            <w:noProof/>
            <w:webHidden/>
          </w:rPr>
        </w:r>
        <w:r w:rsidR="00862E71">
          <w:rPr>
            <w:noProof/>
            <w:webHidden/>
          </w:rPr>
          <w:fldChar w:fldCharType="separate"/>
        </w:r>
        <w:r w:rsidR="00862E71">
          <w:rPr>
            <w:noProof/>
            <w:webHidden/>
          </w:rPr>
          <w:t>3</w:t>
        </w:r>
        <w:r w:rsidR="00862E71">
          <w:rPr>
            <w:noProof/>
            <w:webHidden/>
          </w:rPr>
          <w:fldChar w:fldCharType="end"/>
        </w:r>
      </w:hyperlink>
    </w:p>
    <w:p w14:paraId="14C59EF5" w14:textId="3F56729E" w:rsidR="00862E71" w:rsidRDefault="00E75AFC">
      <w:pPr>
        <w:pStyle w:val="TOC1"/>
        <w:tabs>
          <w:tab w:val="left" w:pos="440"/>
        </w:tabs>
        <w:rPr>
          <w:rFonts w:eastAsiaTheme="minorEastAsia" w:cstheme="minorBidi"/>
          <w:b w:val="0"/>
          <w:bCs w:val="0"/>
          <w:caps w:val="0"/>
          <w:noProof/>
          <w:sz w:val="22"/>
          <w:szCs w:val="22"/>
          <w:lang w:val="en-AU" w:eastAsia="en-AU" w:bidi="ar-SA"/>
        </w:rPr>
      </w:pPr>
      <w:hyperlink w:anchor="_Toc122602188" w:history="1">
        <w:r w:rsidR="00862E71" w:rsidRPr="00EF3AAD">
          <w:rPr>
            <w:rStyle w:val="Hyperlink"/>
            <w:noProof/>
          </w:rPr>
          <w:t>2</w:t>
        </w:r>
        <w:r w:rsidR="00862E71">
          <w:rPr>
            <w:rFonts w:eastAsiaTheme="minorEastAsia" w:cstheme="minorBidi"/>
            <w:b w:val="0"/>
            <w:bCs w:val="0"/>
            <w:caps w:val="0"/>
            <w:noProof/>
            <w:sz w:val="22"/>
            <w:szCs w:val="22"/>
            <w:lang w:val="en-AU" w:eastAsia="en-AU" w:bidi="ar-SA"/>
          </w:rPr>
          <w:tab/>
        </w:r>
        <w:r w:rsidR="00862E71" w:rsidRPr="00EF3AAD">
          <w:rPr>
            <w:rStyle w:val="Hyperlink"/>
            <w:noProof/>
          </w:rPr>
          <w:t>Background</w:t>
        </w:r>
        <w:r w:rsidR="00862E71">
          <w:rPr>
            <w:noProof/>
            <w:webHidden/>
          </w:rPr>
          <w:tab/>
        </w:r>
        <w:r w:rsidR="00862E71">
          <w:rPr>
            <w:noProof/>
            <w:webHidden/>
          </w:rPr>
          <w:fldChar w:fldCharType="begin"/>
        </w:r>
        <w:r w:rsidR="00862E71">
          <w:rPr>
            <w:noProof/>
            <w:webHidden/>
          </w:rPr>
          <w:instrText xml:space="preserve"> PAGEREF _Toc122602188 \h </w:instrText>
        </w:r>
        <w:r w:rsidR="00862E71">
          <w:rPr>
            <w:noProof/>
            <w:webHidden/>
          </w:rPr>
        </w:r>
        <w:r w:rsidR="00862E71">
          <w:rPr>
            <w:noProof/>
            <w:webHidden/>
          </w:rPr>
          <w:fldChar w:fldCharType="separate"/>
        </w:r>
        <w:r w:rsidR="00862E71">
          <w:rPr>
            <w:noProof/>
            <w:webHidden/>
          </w:rPr>
          <w:t>4</w:t>
        </w:r>
        <w:r w:rsidR="00862E71">
          <w:rPr>
            <w:noProof/>
            <w:webHidden/>
          </w:rPr>
          <w:fldChar w:fldCharType="end"/>
        </w:r>
      </w:hyperlink>
    </w:p>
    <w:p w14:paraId="7C6FDF3D" w14:textId="7B172E64" w:rsidR="00862E71" w:rsidRDefault="00E75AFC">
      <w:pPr>
        <w:pStyle w:val="TOC2"/>
        <w:tabs>
          <w:tab w:val="left" w:pos="880"/>
          <w:tab w:val="right" w:leader="dot" w:pos="9060"/>
        </w:tabs>
        <w:rPr>
          <w:rFonts w:eastAsiaTheme="minorEastAsia" w:cstheme="minorBidi"/>
          <w:smallCaps w:val="0"/>
          <w:noProof/>
          <w:sz w:val="22"/>
          <w:szCs w:val="22"/>
          <w:lang w:val="en-AU" w:eastAsia="en-AU" w:bidi="ar-SA"/>
        </w:rPr>
      </w:pPr>
      <w:hyperlink w:anchor="_Toc122602189" w:history="1">
        <w:r w:rsidR="00862E71" w:rsidRPr="00EF3AAD">
          <w:rPr>
            <w:rStyle w:val="Hyperlink"/>
            <w:noProof/>
          </w:rPr>
          <w:t>2.1</w:t>
        </w:r>
        <w:r w:rsidR="00862E71">
          <w:rPr>
            <w:rFonts w:eastAsiaTheme="minorEastAsia" w:cstheme="minorBidi"/>
            <w:smallCaps w:val="0"/>
            <w:noProof/>
            <w:sz w:val="22"/>
            <w:szCs w:val="22"/>
            <w:lang w:val="en-AU" w:eastAsia="en-AU" w:bidi="ar-SA"/>
          </w:rPr>
          <w:tab/>
        </w:r>
        <w:r w:rsidR="00862E71" w:rsidRPr="00EF3AAD">
          <w:rPr>
            <w:rStyle w:val="Hyperlink"/>
            <w:noProof/>
          </w:rPr>
          <w:t>History</w:t>
        </w:r>
        <w:r w:rsidR="00862E71">
          <w:rPr>
            <w:noProof/>
            <w:webHidden/>
          </w:rPr>
          <w:tab/>
        </w:r>
        <w:r w:rsidR="00862E71">
          <w:rPr>
            <w:noProof/>
            <w:webHidden/>
          </w:rPr>
          <w:fldChar w:fldCharType="begin"/>
        </w:r>
        <w:r w:rsidR="00862E71">
          <w:rPr>
            <w:noProof/>
            <w:webHidden/>
          </w:rPr>
          <w:instrText xml:space="preserve"> PAGEREF _Toc122602189 \h </w:instrText>
        </w:r>
        <w:r w:rsidR="00862E71">
          <w:rPr>
            <w:noProof/>
            <w:webHidden/>
          </w:rPr>
        </w:r>
        <w:r w:rsidR="00862E71">
          <w:rPr>
            <w:noProof/>
            <w:webHidden/>
          </w:rPr>
          <w:fldChar w:fldCharType="separate"/>
        </w:r>
        <w:r w:rsidR="00862E71">
          <w:rPr>
            <w:noProof/>
            <w:webHidden/>
          </w:rPr>
          <w:t>4</w:t>
        </w:r>
        <w:r w:rsidR="00862E71">
          <w:rPr>
            <w:noProof/>
            <w:webHidden/>
          </w:rPr>
          <w:fldChar w:fldCharType="end"/>
        </w:r>
      </w:hyperlink>
    </w:p>
    <w:p w14:paraId="6AD416E0" w14:textId="6053B6B6" w:rsidR="00862E71" w:rsidRDefault="00E75AFC">
      <w:pPr>
        <w:pStyle w:val="TOC2"/>
        <w:tabs>
          <w:tab w:val="left" w:pos="880"/>
          <w:tab w:val="right" w:leader="dot" w:pos="9060"/>
        </w:tabs>
        <w:rPr>
          <w:rFonts w:eastAsiaTheme="minorEastAsia" w:cstheme="minorBidi"/>
          <w:smallCaps w:val="0"/>
          <w:noProof/>
          <w:sz w:val="22"/>
          <w:szCs w:val="22"/>
          <w:lang w:val="en-AU" w:eastAsia="en-AU" w:bidi="ar-SA"/>
        </w:rPr>
      </w:pPr>
      <w:hyperlink w:anchor="_Toc122602190" w:history="1">
        <w:r w:rsidR="00862E71" w:rsidRPr="00EF3AAD">
          <w:rPr>
            <w:rStyle w:val="Hyperlink"/>
            <w:noProof/>
          </w:rPr>
          <w:t>2.2</w:t>
        </w:r>
        <w:r w:rsidR="00862E71">
          <w:rPr>
            <w:rFonts w:eastAsiaTheme="minorEastAsia" w:cstheme="minorBidi"/>
            <w:smallCaps w:val="0"/>
            <w:noProof/>
            <w:sz w:val="22"/>
            <w:szCs w:val="22"/>
            <w:lang w:val="en-AU" w:eastAsia="en-AU" w:bidi="ar-SA"/>
          </w:rPr>
          <w:tab/>
        </w:r>
        <w:r w:rsidR="00862E71" w:rsidRPr="00EF3AAD">
          <w:rPr>
            <w:rStyle w:val="Hyperlink"/>
            <w:noProof/>
          </w:rPr>
          <w:t>Australian and New Zealand Food Regulations</w:t>
        </w:r>
        <w:r w:rsidR="00862E71">
          <w:rPr>
            <w:noProof/>
            <w:webHidden/>
          </w:rPr>
          <w:tab/>
        </w:r>
        <w:r w:rsidR="00862E71">
          <w:rPr>
            <w:noProof/>
            <w:webHidden/>
          </w:rPr>
          <w:fldChar w:fldCharType="begin"/>
        </w:r>
        <w:r w:rsidR="00862E71">
          <w:rPr>
            <w:noProof/>
            <w:webHidden/>
          </w:rPr>
          <w:instrText xml:space="preserve"> PAGEREF _Toc122602190 \h </w:instrText>
        </w:r>
        <w:r w:rsidR="00862E71">
          <w:rPr>
            <w:noProof/>
            <w:webHidden/>
          </w:rPr>
        </w:r>
        <w:r w:rsidR="00862E71">
          <w:rPr>
            <w:noProof/>
            <w:webHidden/>
          </w:rPr>
          <w:fldChar w:fldCharType="separate"/>
        </w:r>
        <w:r w:rsidR="00862E71">
          <w:rPr>
            <w:noProof/>
            <w:webHidden/>
          </w:rPr>
          <w:t>4</w:t>
        </w:r>
        <w:r w:rsidR="00862E71">
          <w:rPr>
            <w:noProof/>
            <w:webHidden/>
          </w:rPr>
          <w:fldChar w:fldCharType="end"/>
        </w:r>
      </w:hyperlink>
    </w:p>
    <w:p w14:paraId="657E88FB" w14:textId="631273F6" w:rsidR="00862E71" w:rsidRDefault="00E75AFC" w:rsidP="00054CA2">
      <w:pPr>
        <w:pStyle w:val="TOC3"/>
        <w:rPr>
          <w:rFonts w:eastAsiaTheme="minorEastAsia" w:cstheme="minorBidi"/>
          <w:noProof/>
          <w:sz w:val="22"/>
          <w:szCs w:val="22"/>
          <w:lang w:val="en-AU" w:eastAsia="en-AU" w:bidi="ar-SA"/>
        </w:rPr>
      </w:pPr>
      <w:hyperlink w:anchor="_Toc122602191" w:history="1">
        <w:r w:rsidR="00862E71" w:rsidRPr="00EF3AAD">
          <w:rPr>
            <w:rStyle w:val="Hyperlink"/>
            <w:noProof/>
          </w:rPr>
          <w:t>2.2.1</w:t>
        </w:r>
        <w:r w:rsidR="00862E71">
          <w:rPr>
            <w:rFonts w:eastAsiaTheme="minorEastAsia" w:cstheme="minorBidi"/>
            <w:noProof/>
            <w:sz w:val="22"/>
            <w:szCs w:val="22"/>
            <w:lang w:val="en-AU" w:eastAsia="en-AU" w:bidi="ar-SA"/>
          </w:rPr>
          <w:tab/>
        </w:r>
        <w:r w:rsidR="00862E71" w:rsidRPr="00EF3AAD">
          <w:rPr>
            <w:rStyle w:val="Hyperlink"/>
            <w:noProof/>
          </w:rPr>
          <w:t>Australian and New Zealand Food Laws</w:t>
        </w:r>
        <w:r w:rsidR="00862E71">
          <w:rPr>
            <w:noProof/>
            <w:webHidden/>
          </w:rPr>
          <w:tab/>
        </w:r>
        <w:r w:rsidR="00862E71">
          <w:rPr>
            <w:noProof/>
            <w:webHidden/>
          </w:rPr>
          <w:fldChar w:fldCharType="begin"/>
        </w:r>
        <w:r w:rsidR="00862E71">
          <w:rPr>
            <w:noProof/>
            <w:webHidden/>
          </w:rPr>
          <w:instrText xml:space="preserve"> PAGEREF _Toc122602191 \h </w:instrText>
        </w:r>
        <w:r w:rsidR="00862E71">
          <w:rPr>
            <w:noProof/>
            <w:webHidden/>
          </w:rPr>
        </w:r>
        <w:r w:rsidR="00862E71">
          <w:rPr>
            <w:noProof/>
            <w:webHidden/>
          </w:rPr>
          <w:fldChar w:fldCharType="separate"/>
        </w:r>
        <w:r w:rsidR="00862E71">
          <w:rPr>
            <w:noProof/>
            <w:webHidden/>
          </w:rPr>
          <w:t>4</w:t>
        </w:r>
        <w:r w:rsidR="00862E71">
          <w:rPr>
            <w:noProof/>
            <w:webHidden/>
          </w:rPr>
          <w:fldChar w:fldCharType="end"/>
        </w:r>
      </w:hyperlink>
    </w:p>
    <w:p w14:paraId="4259FDE5" w14:textId="78D2D417" w:rsidR="00862E71" w:rsidRDefault="00E75AFC" w:rsidP="00054CA2">
      <w:pPr>
        <w:pStyle w:val="TOC3"/>
        <w:rPr>
          <w:rFonts w:eastAsiaTheme="minorEastAsia" w:cstheme="minorBidi"/>
          <w:noProof/>
          <w:sz w:val="22"/>
          <w:szCs w:val="22"/>
          <w:lang w:val="en-AU" w:eastAsia="en-AU" w:bidi="ar-SA"/>
        </w:rPr>
      </w:pPr>
      <w:hyperlink w:anchor="_Toc122602192" w:history="1">
        <w:r w:rsidR="00862E71" w:rsidRPr="00EF3AAD">
          <w:rPr>
            <w:rStyle w:val="Hyperlink"/>
            <w:noProof/>
          </w:rPr>
          <w:t>2.2.2</w:t>
        </w:r>
        <w:r w:rsidR="00862E71">
          <w:rPr>
            <w:rFonts w:eastAsiaTheme="minorEastAsia" w:cstheme="minorBidi"/>
            <w:noProof/>
            <w:sz w:val="22"/>
            <w:szCs w:val="22"/>
            <w:lang w:val="en-AU" w:eastAsia="en-AU" w:bidi="ar-SA"/>
          </w:rPr>
          <w:tab/>
        </w:r>
        <w:r w:rsidR="00862E71" w:rsidRPr="00EF3AAD">
          <w:rPr>
            <w:rStyle w:val="Hyperlink"/>
            <w:noProof/>
          </w:rPr>
          <w:t>Food imported into Australia</w:t>
        </w:r>
        <w:r w:rsidR="00862E71">
          <w:rPr>
            <w:noProof/>
            <w:webHidden/>
          </w:rPr>
          <w:tab/>
        </w:r>
        <w:r w:rsidR="00862E71">
          <w:rPr>
            <w:noProof/>
            <w:webHidden/>
          </w:rPr>
          <w:fldChar w:fldCharType="begin"/>
        </w:r>
        <w:r w:rsidR="00862E71">
          <w:rPr>
            <w:noProof/>
            <w:webHidden/>
          </w:rPr>
          <w:instrText xml:space="preserve"> PAGEREF _Toc122602192 \h </w:instrText>
        </w:r>
        <w:r w:rsidR="00862E71">
          <w:rPr>
            <w:noProof/>
            <w:webHidden/>
          </w:rPr>
        </w:r>
        <w:r w:rsidR="00862E71">
          <w:rPr>
            <w:noProof/>
            <w:webHidden/>
          </w:rPr>
          <w:fldChar w:fldCharType="separate"/>
        </w:r>
        <w:r w:rsidR="00862E71">
          <w:rPr>
            <w:noProof/>
            <w:webHidden/>
          </w:rPr>
          <w:t>5</w:t>
        </w:r>
        <w:r w:rsidR="00862E71">
          <w:rPr>
            <w:noProof/>
            <w:webHidden/>
          </w:rPr>
          <w:fldChar w:fldCharType="end"/>
        </w:r>
      </w:hyperlink>
    </w:p>
    <w:p w14:paraId="116E0593" w14:textId="018C9430" w:rsidR="00862E71" w:rsidRDefault="00E75AFC" w:rsidP="00054CA2">
      <w:pPr>
        <w:pStyle w:val="TOC3"/>
        <w:rPr>
          <w:rFonts w:eastAsiaTheme="minorEastAsia" w:cstheme="minorBidi"/>
          <w:noProof/>
          <w:sz w:val="22"/>
          <w:szCs w:val="22"/>
          <w:lang w:val="en-AU" w:eastAsia="en-AU" w:bidi="ar-SA"/>
        </w:rPr>
      </w:pPr>
      <w:hyperlink w:anchor="_Toc122602193" w:history="1">
        <w:r w:rsidR="00862E71" w:rsidRPr="00EF3AAD">
          <w:rPr>
            <w:rStyle w:val="Hyperlink"/>
            <w:noProof/>
          </w:rPr>
          <w:t>2.2.3</w:t>
        </w:r>
        <w:r w:rsidR="00862E71">
          <w:rPr>
            <w:rFonts w:eastAsiaTheme="minorEastAsia" w:cstheme="minorBidi"/>
            <w:noProof/>
            <w:sz w:val="22"/>
            <w:szCs w:val="22"/>
            <w:lang w:val="en-AU" w:eastAsia="en-AU" w:bidi="ar-SA"/>
          </w:rPr>
          <w:tab/>
        </w:r>
        <w:r w:rsidR="00862E71" w:rsidRPr="00EF3AAD">
          <w:rPr>
            <w:rStyle w:val="Hyperlink"/>
            <w:noProof/>
          </w:rPr>
          <w:t>Food imported into New Zealand</w:t>
        </w:r>
        <w:r w:rsidR="00862E71">
          <w:rPr>
            <w:noProof/>
            <w:webHidden/>
          </w:rPr>
          <w:tab/>
        </w:r>
        <w:r w:rsidR="00862E71">
          <w:rPr>
            <w:noProof/>
            <w:webHidden/>
          </w:rPr>
          <w:fldChar w:fldCharType="begin"/>
        </w:r>
        <w:r w:rsidR="00862E71">
          <w:rPr>
            <w:noProof/>
            <w:webHidden/>
          </w:rPr>
          <w:instrText xml:space="preserve"> PAGEREF _Toc122602193 \h </w:instrText>
        </w:r>
        <w:r w:rsidR="00862E71">
          <w:rPr>
            <w:noProof/>
            <w:webHidden/>
          </w:rPr>
        </w:r>
        <w:r w:rsidR="00862E71">
          <w:rPr>
            <w:noProof/>
            <w:webHidden/>
          </w:rPr>
          <w:fldChar w:fldCharType="separate"/>
        </w:r>
        <w:r w:rsidR="00862E71">
          <w:rPr>
            <w:noProof/>
            <w:webHidden/>
          </w:rPr>
          <w:t>5</w:t>
        </w:r>
        <w:r w:rsidR="00862E71">
          <w:rPr>
            <w:noProof/>
            <w:webHidden/>
          </w:rPr>
          <w:fldChar w:fldCharType="end"/>
        </w:r>
      </w:hyperlink>
    </w:p>
    <w:p w14:paraId="44D8818A" w14:textId="410F7ABF" w:rsidR="00862E71" w:rsidRDefault="00E75AFC" w:rsidP="00054CA2">
      <w:pPr>
        <w:pStyle w:val="TOC3"/>
        <w:rPr>
          <w:rFonts w:eastAsiaTheme="minorEastAsia" w:cstheme="minorBidi"/>
          <w:noProof/>
          <w:sz w:val="22"/>
          <w:szCs w:val="22"/>
          <w:lang w:val="en-AU" w:eastAsia="en-AU" w:bidi="ar-SA"/>
        </w:rPr>
      </w:pPr>
      <w:hyperlink w:anchor="_Toc122602194" w:history="1">
        <w:r w:rsidR="00862E71" w:rsidRPr="00EF3AAD">
          <w:rPr>
            <w:rStyle w:val="Hyperlink"/>
            <w:noProof/>
          </w:rPr>
          <w:t>2.2.4</w:t>
        </w:r>
        <w:r w:rsidR="00862E71">
          <w:rPr>
            <w:rFonts w:eastAsiaTheme="minorEastAsia" w:cstheme="minorBidi"/>
            <w:noProof/>
            <w:sz w:val="22"/>
            <w:szCs w:val="22"/>
            <w:lang w:val="en-AU" w:eastAsia="en-AU" w:bidi="ar-SA"/>
          </w:rPr>
          <w:tab/>
        </w:r>
        <w:r w:rsidR="00862E71" w:rsidRPr="00EF3AAD">
          <w:rPr>
            <w:rStyle w:val="Hyperlink"/>
            <w:noProof/>
          </w:rPr>
          <w:t>Food Standards Australia New Zealand Act 1991</w:t>
        </w:r>
        <w:r w:rsidR="00862E71">
          <w:rPr>
            <w:noProof/>
            <w:webHidden/>
          </w:rPr>
          <w:tab/>
        </w:r>
        <w:r w:rsidR="00862E71">
          <w:rPr>
            <w:noProof/>
            <w:webHidden/>
          </w:rPr>
          <w:fldChar w:fldCharType="begin"/>
        </w:r>
        <w:r w:rsidR="00862E71">
          <w:rPr>
            <w:noProof/>
            <w:webHidden/>
          </w:rPr>
          <w:instrText xml:space="preserve"> PAGEREF _Toc122602194 \h </w:instrText>
        </w:r>
        <w:r w:rsidR="00862E71">
          <w:rPr>
            <w:noProof/>
            <w:webHidden/>
          </w:rPr>
        </w:r>
        <w:r w:rsidR="00862E71">
          <w:rPr>
            <w:noProof/>
            <w:webHidden/>
          </w:rPr>
          <w:fldChar w:fldCharType="separate"/>
        </w:r>
        <w:r w:rsidR="00862E71">
          <w:rPr>
            <w:noProof/>
            <w:webHidden/>
          </w:rPr>
          <w:t>5</w:t>
        </w:r>
        <w:r w:rsidR="00862E71">
          <w:rPr>
            <w:noProof/>
            <w:webHidden/>
          </w:rPr>
          <w:fldChar w:fldCharType="end"/>
        </w:r>
      </w:hyperlink>
    </w:p>
    <w:p w14:paraId="40EE5A42" w14:textId="257E7A1E" w:rsidR="00862E71" w:rsidRDefault="00E75AFC" w:rsidP="00054CA2">
      <w:pPr>
        <w:pStyle w:val="TOC3"/>
        <w:rPr>
          <w:rFonts w:eastAsiaTheme="minorEastAsia" w:cstheme="minorBidi"/>
          <w:noProof/>
          <w:sz w:val="22"/>
          <w:szCs w:val="22"/>
          <w:lang w:val="en-AU" w:eastAsia="en-AU" w:bidi="ar-SA"/>
        </w:rPr>
      </w:pPr>
      <w:hyperlink w:anchor="_Toc122602195" w:history="1">
        <w:r w:rsidR="00862E71" w:rsidRPr="00EF3AAD">
          <w:rPr>
            <w:rStyle w:val="Hyperlink"/>
            <w:noProof/>
          </w:rPr>
          <w:t>2.2.5</w:t>
        </w:r>
        <w:r w:rsidR="00862E71">
          <w:rPr>
            <w:rFonts w:eastAsiaTheme="minorEastAsia" w:cstheme="minorBidi"/>
            <w:noProof/>
            <w:sz w:val="22"/>
            <w:szCs w:val="22"/>
            <w:lang w:val="en-AU" w:eastAsia="en-AU" w:bidi="ar-SA"/>
          </w:rPr>
          <w:tab/>
        </w:r>
        <w:r w:rsidR="00862E71" w:rsidRPr="00EF3AAD">
          <w:rPr>
            <w:rStyle w:val="Hyperlink"/>
            <w:noProof/>
          </w:rPr>
          <w:t>Australia New Zealand Food Standards Code (the Code)</w:t>
        </w:r>
        <w:r w:rsidR="00862E71">
          <w:rPr>
            <w:noProof/>
            <w:webHidden/>
          </w:rPr>
          <w:tab/>
        </w:r>
        <w:r w:rsidR="00862E71">
          <w:rPr>
            <w:noProof/>
            <w:webHidden/>
          </w:rPr>
          <w:fldChar w:fldCharType="begin"/>
        </w:r>
        <w:r w:rsidR="00862E71">
          <w:rPr>
            <w:noProof/>
            <w:webHidden/>
          </w:rPr>
          <w:instrText xml:space="preserve"> PAGEREF _Toc122602195 \h </w:instrText>
        </w:r>
        <w:r w:rsidR="00862E71">
          <w:rPr>
            <w:noProof/>
            <w:webHidden/>
          </w:rPr>
        </w:r>
        <w:r w:rsidR="00862E71">
          <w:rPr>
            <w:noProof/>
            <w:webHidden/>
          </w:rPr>
          <w:fldChar w:fldCharType="separate"/>
        </w:r>
        <w:r w:rsidR="00862E71">
          <w:rPr>
            <w:noProof/>
            <w:webHidden/>
          </w:rPr>
          <w:t>6</w:t>
        </w:r>
        <w:r w:rsidR="00862E71">
          <w:rPr>
            <w:noProof/>
            <w:webHidden/>
          </w:rPr>
          <w:fldChar w:fldCharType="end"/>
        </w:r>
      </w:hyperlink>
    </w:p>
    <w:p w14:paraId="130968A0" w14:textId="7E1B2F43" w:rsidR="00862E71" w:rsidRDefault="00E75AFC" w:rsidP="00054CA2">
      <w:pPr>
        <w:pStyle w:val="TOC3"/>
        <w:rPr>
          <w:rFonts w:eastAsiaTheme="minorEastAsia" w:cstheme="minorBidi"/>
          <w:noProof/>
          <w:sz w:val="22"/>
          <w:szCs w:val="22"/>
          <w:lang w:val="en-AU" w:eastAsia="en-AU" w:bidi="ar-SA"/>
        </w:rPr>
      </w:pPr>
      <w:hyperlink w:anchor="_Toc122602196" w:history="1">
        <w:r w:rsidR="00862E71" w:rsidRPr="00EF3AAD">
          <w:rPr>
            <w:rStyle w:val="Hyperlink"/>
            <w:noProof/>
          </w:rPr>
          <w:t>2.2.6</w:t>
        </w:r>
        <w:r w:rsidR="00862E71">
          <w:rPr>
            <w:rFonts w:eastAsiaTheme="minorEastAsia" w:cstheme="minorBidi"/>
            <w:noProof/>
            <w:sz w:val="22"/>
            <w:szCs w:val="22"/>
            <w:lang w:val="en-AU" w:eastAsia="en-AU" w:bidi="ar-SA"/>
          </w:rPr>
          <w:tab/>
        </w:r>
        <w:r w:rsidR="00862E71" w:rsidRPr="00EF3AAD">
          <w:rPr>
            <w:rStyle w:val="Hyperlink"/>
            <w:noProof/>
          </w:rPr>
          <w:t>New Zealand Supplemented Food Standard</w:t>
        </w:r>
        <w:r w:rsidR="00862E71">
          <w:rPr>
            <w:noProof/>
            <w:webHidden/>
          </w:rPr>
          <w:tab/>
        </w:r>
        <w:r w:rsidR="00862E71">
          <w:rPr>
            <w:noProof/>
            <w:webHidden/>
          </w:rPr>
          <w:fldChar w:fldCharType="begin"/>
        </w:r>
        <w:r w:rsidR="00862E71">
          <w:rPr>
            <w:noProof/>
            <w:webHidden/>
          </w:rPr>
          <w:instrText xml:space="preserve"> PAGEREF _Toc122602196 \h </w:instrText>
        </w:r>
        <w:r w:rsidR="00862E71">
          <w:rPr>
            <w:noProof/>
            <w:webHidden/>
          </w:rPr>
        </w:r>
        <w:r w:rsidR="00862E71">
          <w:rPr>
            <w:noProof/>
            <w:webHidden/>
          </w:rPr>
          <w:fldChar w:fldCharType="separate"/>
        </w:r>
        <w:r w:rsidR="00862E71">
          <w:rPr>
            <w:noProof/>
            <w:webHidden/>
          </w:rPr>
          <w:t>7</w:t>
        </w:r>
        <w:r w:rsidR="00862E71">
          <w:rPr>
            <w:noProof/>
            <w:webHidden/>
          </w:rPr>
          <w:fldChar w:fldCharType="end"/>
        </w:r>
      </w:hyperlink>
    </w:p>
    <w:p w14:paraId="6AFF8303" w14:textId="0DDAE98E" w:rsidR="00862E71" w:rsidRDefault="00E75AFC" w:rsidP="00054CA2">
      <w:pPr>
        <w:pStyle w:val="TOC3"/>
        <w:rPr>
          <w:rFonts w:eastAsiaTheme="minorEastAsia" w:cstheme="minorBidi"/>
          <w:noProof/>
          <w:sz w:val="22"/>
          <w:szCs w:val="22"/>
          <w:lang w:val="en-AU" w:eastAsia="en-AU" w:bidi="ar-SA"/>
        </w:rPr>
      </w:pPr>
      <w:hyperlink w:anchor="_Toc122602197" w:history="1">
        <w:r w:rsidR="00862E71" w:rsidRPr="00EF3AAD">
          <w:rPr>
            <w:rStyle w:val="Hyperlink"/>
            <w:noProof/>
          </w:rPr>
          <w:t>2.2.7</w:t>
        </w:r>
        <w:r w:rsidR="00862E71">
          <w:rPr>
            <w:rFonts w:eastAsiaTheme="minorEastAsia" w:cstheme="minorBidi"/>
            <w:noProof/>
            <w:sz w:val="22"/>
            <w:szCs w:val="22"/>
            <w:lang w:val="en-AU" w:eastAsia="en-AU" w:bidi="ar-SA"/>
          </w:rPr>
          <w:tab/>
        </w:r>
        <w:r w:rsidR="00862E71" w:rsidRPr="00EF3AAD">
          <w:rPr>
            <w:rStyle w:val="Hyperlink"/>
            <w:noProof/>
          </w:rPr>
          <w:t>Trans-Tasman Mutual Recognition Arrangement</w:t>
        </w:r>
        <w:r w:rsidR="00862E71">
          <w:rPr>
            <w:noProof/>
            <w:webHidden/>
          </w:rPr>
          <w:tab/>
        </w:r>
        <w:r w:rsidR="00862E71">
          <w:rPr>
            <w:noProof/>
            <w:webHidden/>
          </w:rPr>
          <w:fldChar w:fldCharType="begin"/>
        </w:r>
        <w:r w:rsidR="00862E71">
          <w:rPr>
            <w:noProof/>
            <w:webHidden/>
          </w:rPr>
          <w:instrText xml:space="preserve"> PAGEREF _Toc122602197 \h </w:instrText>
        </w:r>
        <w:r w:rsidR="00862E71">
          <w:rPr>
            <w:noProof/>
            <w:webHidden/>
          </w:rPr>
        </w:r>
        <w:r w:rsidR="00862E71">
          <w:rPr>
            <w:noProof/>
            <w:webHidden/>
          </w:rPr>
          <w:fldChar w:fldCharType="separate"/>
        </w:r>
        <w:r w:rsidR="00862E71">
          <w:rPr>
            <w:noProof/>
            <w:webHidden/>
          </w:rPr>
          <w:t>7</w:t>
        </w:r>
        <w:r w:rsidR="00862E71">
          <w:rPr>
            <w:noProof/>
            <w:webHidden/>
          </w:rPr>
          <w:fldChar w:fldCharType="end"/>
        </w:r>
      </w:hyperlink>
    </w:p>
    <w:p w14:paraId="6751EF77" w14:textId="4F5A9C5E" w:rsidR="00862E71" w:rsidRDefault="00E75AFC" w:rsidP="00054CA2">
      <w:pPr>
        <w:pStyle w:val="TOC3"/>
        <w:rPr>
          <w:rFonts w:eastAsiaTheme="minorEastAsia" w:cstheme="minorBidi"/>
          <w:noProof/>
          <w:sz w:val="22"/>
          <w:szCs w:val="22"/>
          <w:lang w:val="en-AU" w:eastAsia="en-AU" w:bidi="ar-SA"/>
        </w:rPr>
      </w:pPr>
      <w:hyperlink w:anchor="_Toc122602198" w:history="1">
        <w:r w:rsidR="00862E71" w:rsidRPr="00EF3AAD">
          <w:rPr>
            <w:rStyle w:val="Hyperlink"/>
            <w:noProof/>
          </w:rPr>
          <w:t>2.2.8</w:t>
        </w:r>
        <w:r w:rsidR="00862E71">
          <w:rPr>
            <w:rFonts w:eastAsiaTheme="minorEastAsia" w:cstheme="minorBidi"/>
            <w:noProof/>
            <w:sz w:val="22"/>
            <w:szCs w:val="22"/>
            <w:lang w:val="en-AU" w:eastAsia="en-AU" w:bidi="ar-SA"/>
          </w:rPr>
          <w:tab/>
        </w:r>
        <w:r w:rsidR="00862E71" w:rsidRPr="00EF3AAD">
          <w:rPr>
            <w:rStyle w:val="Hyperlink"/>
            <w:noProof/>
          </w:rPr>
          <w:t>Interaction with Australian Therapeutic Goods Regulations</w:t>
        </w:r>
        <w:r w:rsidR="00862E71">
          <w:rPr>
            <w:noProof/>
            <w:webHidden/>
          </w:rPr>
          <w:tab/>
        </w:r>
        <w:r w:rsidR="00862E71">
          <w:rPr>
            <w:noProof/>
            <w:webHidden/>
          </w:rPr>
          <w:fldChar w:fldCharType="begin"/>
        </w:r>
        <w:r w:rsidR="00862E71">
          <w:rPr>
            <w:noProof/>
            <w:webHidden/>
          </w:rPr>
          <w:instrText xml:space="preserve"> PAGEREF _Toc122602198 \h </w:instrText>
        </w:r>
        <w:r w:rsidR="00862E71">
          <w:rPr>
            <w:noProof/>
            <w:webHidden/>
          </w:rPr>
        </w:r>
        <w:r w:rsidR="00862E71">
          <w:rPr>
            <w:noProof/>
            <w:webHidden/>
          </w:rPr>
          <w:fldChar w:fldCharType="separate"/>
        </w:r>
        <w:r w:rsidR="00862E71">
          <w:rPr>
            <w:noProof/>
            <w:webHidden/>
          </w:rPr>
          <w:t>8</w:t>
        </w:r>
        <w:r w:rsidR="00862E71">
          <w:rPr>
            <w:noProof/>
            <w:webHidden/>
          </w:rPr>
          <w:fldChar w:fldCharType="end"/>
        </w:r>
      </w:hyperlink>
    </w:p>
    <w:p w14:paraId="4D5C9F4B" w14:textId="1BEFD5F3" w:rsidR="00862E71" w:rsidRDefault="00E75AFC" w:rsidP="00054CA2">
      <w:pPr>
        <w:pStyle w:val="TOC3"/>
        <w:rPr>
          <w:rFonts w:eastAsiaTheme="minorEastAsia" w:cstheme="minorBidi"/>
          <w:noProof/>
          <w:sz w:val="22"/>
          <w:szCs w:val="22"/>
          <w:lang w:val="en-AU" w:eastAsia="en-AU" w:bidi="ar-SA"/>
        </w:rPr>
      </w:pPr>
      <w:hyperlink w:anchor="_Toc122602199" w:history="1">
        <w:r w:rsidR="00862E71" w:rsidRPr="00EF3AAD">
          <w:rPr>
            <w:rStyle w:val="Hyperlink"/>
            <w:noProof/>
          </w:rPr>
          <w:t>2.2.9</w:t>
        </w:r>
        <w:r w:rsidR="00862E71">
          <w:rPr>
            <w:rFonts w:eastAsiaTheme="minorEastAsia" w:cstheme="minorBidi"/>
            <w:noProof/>
            <w:sz w:val="22"/>
            <w:szCs w:val="22"/>
            <w:lang w:val="en-AU" w:eastAsia="en-AU" w:bidi="ar-SA"/>
          </w:rPr>
          <w:tab/>
        </w:r>
        <w:r w:rsidR="00862E71" w:rsidRPr="00EF3AAD">
          <w:rPr>
            <w:rStyle w:val="Hyperlink"/>
            <w:noProof/>
          </w:rPr>
          <w:t>Australia New Zealand Food Regulation Policy Guideline</w:t>
        </w:r>
        <w:r w:rsidR="00862E71">
          <w:rPr>
            <w:noProof/>
            <w:webHidden/>
          </w:rPr>
          <w:tab/>
        </w:r>
        <w:r w:rsidR="00862E71">
          <w:rPr>
            <w:noProof/>
            <w:webHidden/>
          </w:rPr>
          <w:fldChar w:fldCharType="begin"/>
        </w:r>
        <w:r w:rsidR="00862E71">
          <w:rPr>
            <w:noProof/>
            <w:webHidden/>
          </w:rPr>
          <w:instrText xml:space="preserve"> PAGEREF _Toc122602199 \h </w:instrText>
        </w:r>
        <w:r w:rsidR="00862E71">
          <w:rPr>
            <w:noProof/>
            <w:webHidden/>
          </w:rPr>
        </w:r>
        <w:r w:rsidR="00862E71">
          <w:rPr>
            <w:noProof/>
            <w:webHidden/>
          </w:rPr>
          <w:fldChar w:fldCharType="separate"/>
        </w:r>
        <w:r w:rsidR="00862E71">
          <w:rPr>
            <w:noProof/>
            <w:webHidden/>
          </w:rPr>
          <w:t>9</w:t>
        </w:r>
        <w:r w:rsidR="00862E71">
          <w:rPr>
            <w:noProof/>
            <w:webHidden/>
          </w:rPr>
          <w:fldChar w:fldCharType="end"/>
        </w:r>
      </w:hyperlink>
    </w:p>
    <w:p w14:paraId="7557CBC5" w14:textId="3F3455E9" w:rsidR="00862E71" w:rsidRDefault="00E75AFC">
      <w:pPr>
        <w:pStyle w:val="TOC2"/>
        <w:tabs>
          <w:tab w:val="left" w:pos="880"/>
          <w:tab w:val="right" w:leader="dot" w:pos="9060"/>
        </w:tabs>
        <w:rPr>
          <w:rFonts w:eastAsiaTheme="minorEastAsia" w:cstheme="minorBidi"/>
          <w:smallCaps w:val="0"/>
          <w:noProof/>
          <w:sz w:val="22"/>
          <w:szCs w:val="22"/>
          <w:lang w:val="en-AU" w:eastAsia="en-AU" w:bidi="ar-SA"/>
        </w:rPr>
      </w:pPr>
      <w:hyperlink w:anchor="_Toc122602200" w:history="1">
        <w:r w:rsidR="00862E71" w:rsidRPr="00EF3AAD">
          <w:rPr>
            <w:rStyle w:val="Hyperlink"/>
            <w:noProof/>
          </w:rPr>
          <w:t>2.3</w:t>
        </w:r>
        <w:r w:rsidR="00862E71">
          <w:rPr>
            <w:rFonts w:eastAsiaTheme="minorEastAsia" w:cstheme="minorBidi"/>
            <w:smallCaps w:val="0"/>
            <w:noProof/>
            <w:sz w:val="22"/>
            <w:szCs w:val="22"/>
            <w:lang w:val="en-AU" w:eastAsia="en-AU" w:bidi="ar-SA"/>
          </w:rPr>
          <w:tab/>
        </w:r>
        <w:r w:rsidR="00862E71" w:rsidRPr="00EF3AAD">
          <w:rPr>
            <w:rStyle w:val="Hyperlink"/>
            <w:noProof/>
          </w:rPr>
          <w:t>International Regulations</w:t>
        </w:r>
        <w:r w:rsidR="00862E71">
          <w:rPr>
            <w:noProof/>
            <w:webHidden/>
          </w:rPr>
          <w:tab/>
        </w:r>
        <w:r w:rsidR="00862E71">
          <w:rPr>
            <w:noProof/>
            <w:webHidden/>
          </w:rPr>
          <w:fldChar w:fldCharType="begin"/>
        </w:r>
        <w:r w:rsidR="00862E71">
          <w:rPr>
            <w:noProof/>
            <w:webHidden/>
          </w:rPr>
          <w:instrText xml:space="preserve"> PAGEREF _Toc122602200 \h </w:instrText>
        </w:r>
        <w:r w:rsidR="00862E71">
          <w:rPr>
            <w:noProof/>
            <w:webHidden/>
          </w:rPr>
        </w:r>
        <w:r w:rsidR="00862E71">
          <w:rPr>
            <w:noProof/>
            <w:webHidden/>
          </w:rPr>
          <w:fldChar w:fldCharType="separate"/>
        </w:r>
        <w:r w:rsidR="00862E71">
          <w:rPr>
            <w:noProof/>
            <w:webHidden/>
          </w:rPr>
          <w:t>10</w:t>
        </w:r>
        <w:r w:rsidR="00862E71">
          <w:rPr>
            <w:noProof/>
            <w:webHidden/>
          </w:rPr>
          <w:fldChar w:fldCharType="end"/>
        </w:r>
      </w:hyperlink>
    </w:p>
    <w:p w14:paraId="4431485E" w14:textId="5422F307" w:rsidR="00862E71" w:rsidRDefault="00E75AFC" w:rsidP="00054CA2">
      <w:pPr>
        <w:pStyle w:val="TOC3"/>
        <w:rPr>
          <w:rFonts w:eastAsiaTheme="minorEastAsia" w:cstheme="minorBidi"/>
          <w:noProof/>
          <w:sz w:val="22"/>
          <w:szCs w:val="22"/>
          <w:lang w:val="en-AU" w:eastAsia="en-AU" w:bidi="ar-SA"/>
        </w:rPr>
      </w:pPr>
      <w:hyperlink w:anchor="_Toc122602201" w:history="1">
        <w:r w:rsidR="00862E71" w:rsidRPr="00EF3AAD">
          <w:rPr>
            <w:rStyle w:val="Hyperlink"/>
            <w:noProof/>
          </w:rPr>
          <w:t>2.3.1</w:t>
        </w:r>
        <w:r w:rsidR="00862E71">
          <w:rPr>
            <w:rFonts w:eastAsiaTheme="minorEastAsia" w:cstheme="minorBidi"/>
            <w:noProof/>
            <w:sz w:val="22"/>
            <w:szCs w:val="22"/>
            <w:lang w:val="en-AU" w:eastAsia="en-AU" w:bidi="ar-SA"/>
          </w:rPr>
          <w:tab/>
        </w:r>
        <w:r w:rsidR="00862E71" w:rsidRPr="00EF3AAD">
          <w:rPr>
            <w:rStyle w:val="Hyperlink"/>
            <w:noProof/>
          </w:rPr>
          <w:t>Codex</w:t>
        </w:r>
        <w:r w:rsidR="00862E71">
          <w:rPr>
            <w:noProof/>
            <w:webHidden/>
          </w:rPr>
          <w:tab/>
        </w:r>
        <w:r w:rsidR="00862E71">
          <w:rPr>
            <w:noProof/>
            <w:webHidden/>
          </w:rPr>
          <w:fldChar w:fldCharType="begin"/>
        </w:r>
        <w:r w:rsidR="00862E71">
          <w:rPr>
            <w:noProof/>
            <w:webHidden/>
          </w:rPr>
          <w:instrText xml:space="preserve"> PAGEREF _Toc122602201 \h </w:instrText>
        </w:r>
        <w:r w:rsidR="00862E71">
          <w:rPr>
            <w:noProof/>
            <w:webHidden/>
          </w:rPr>
        </w:r>
        <w:r w:rsidR="00862E71">
          <w:rPr>
            <w:noProof/>
            <w:webHidden/>
          </w:rPr>
          <w:fldChar w:fldCharType="separate"/>
        </w:r>
        <w:r w:rsidR="00862E71">
          <w:rPr>
            <w:noProof/>
            <w:webHidden/>
          </w:rPr>
          <w:t>10</w:t>
        </w:r>
        <w:r w:rsidR="00862E71">
          <w:rPr>
            <w:noProof/>
            <w:webHidden/>
          </w:rPr>
          <w:fldChar w:fldCharType="end"/>
        </w:r>
      </w:hyperlink>
    </w:p>
    <w:p w14:paraId="31B2051B" w14:textId="360D024B" w:rsidR="00862E71" w:rsidRDefault="00E75AFC" w:rsidP="00054CA2">
      <w:pPr>
        <w:pStyle w:val="TOC3"/>
        <w:rPr>
          <w:rFonts w:eastAsiaTheme="minorEastAsia" w:cstheme="minorBidi"/>
          <w:noProof/>
          <w:sz w:val="22"/>
          <w:szCs w:val="22"/>
          <w:lang w:val="en-AU" w:eastAsia="en-AU" w:bidi="ar-SA"/>
        </w:rPr>
      </w:pPr>
      <w:hyperlink w:anchor="_Toc122602202" w:history="1">
        <w:r w:rsidR="00862E71" w:rsidRPr="00EF3AAD">
          <w:rPr>
            <w:rStyle w:val="Hyperlink"/>
            <w:noProof/>
          </w:rPr>
          <w:t>2.3.2</w:t>
        </w:r>
        <w:r w:rsidR="00862E71">
          <w:rPr>
            <w:rFonts w:eastAsiaTheme="minorEastAsia" w:cstheme="minorBidi"/>
            <w:noProof/>
            <w:sz w:val="22"/>
            <w:szCs w:val="22"/>
            <w:lang w:val="en-AU" w:eastAsia="en-AU" w:bidi="ar-SA"/>
          </w:rPr>
          <w:tab/>
        </w:r>
        <w:r w:rsidR="00862E71" w:rsidRPr="00EF3AAD">
          <w:rPr>
            <w:rStyle w:val="Hyperlink"/>
            <w:noProof/>
          </w:rPr>
          <w:t>European Union</w:t>
        </w:r>
        <w:r w:rsidR="00862E71">
          <w:rPr>
            <w:noProof/>
            <w:webHidden/>
          </w:rPr>
          <w:tab/>
        </w:r>
        <w:r w:rsidR="00862E71">
          <w:rPr>
            <w:noProof/>
            <w:webHidden/>
          </w:rPr>
          <w:fldChar w:fldCharType="begin"/>
        </w:r>
        <w:r w:rsidR="00862E71">
          <w:rPr>
            <w:noProof/>
            <w:webHidden/>
          </w:rPr>
          <w:instrText xml:space="preserve"> PAGEREF _Toc122602202 \h </w:instrText>
        </w:r>
        <w:r w:rsidR="00862E71">
          <w:rPr>
            <w:noProof/>
            <w:webHidden/>
          </w:rPr>
        </w:r>
        <w:r w:rsidR="00862E71">
          <w:rPr>
            <w:noProof/>
            <w:webHidden/>
          </w:rPr>
          <w:fldChar w:fldCharType="separate"/>
        </w:r>
        <w:r w:rsidR="00862E71">
          <w:rPr>
            <w:noProof/>
            <w:webHidden/>
          </w:rPr>
          <w:t>10</w:t>
        </w:r>
        <w:r w:rsidR="00862E71">
          <w:rPr>
            <w:noProof/>
            <w:webHidden/>
          </w:rPr>
          <w:fldChar w:fldCharType="end"/>
        </w:r>
      </w:hyperlink>
    </w:p>
    <w:p w14:paraId="157AB72D" w14:textId="544A2CEB" w:rsidR="00862E71" w:rsidRDefault="00E75AFC" w:rsidP="00054CA2">
      <w:pPr>
        <w:pStyle w:val="TOC3"/>
        <w:rPr>
          <w:rFonts w:eastAsiaTheme="minorEastAsia" w:cstheme="minorBidi"/>
          <w:noProof/>
          <w:sz w:val="22"/>
          <w:szCs w:val="22"/>
          <w:lang w:val="en-AU" w:eastAsia="en-AU" w:bidi="ar-SA"/>
        </w:rPr>
      </w:pPr>
      <w:hyperlink w:anchor="_Toc122602203" w:history="1">
        <w:r w:rsidR="00862E71" w:rsidRPr="00EF3AAD">
          <w:rPr>
            <w:rStyle w:val="Hyperlink"/>
            <w:noProof/>
          </w:rPr>
          <w:t>2.3.3</w:t>
        </w:r>
        <w:r w:rsidR="00862E71">
          <w:rPr>
            <w:rFonts w:eastAsiaTheme="minorEastAsia" w:cstheme="minorBidi"/>
            <w:noProof/>
            <w:sz w:val="22"/>
            <w:szCs w:val="22"/>
            <w:lang w:val="en-AU" w:eastAsia="en-AU" w:bidi="ar-SA"/>
          </w:rPr>
          <w:tab/>
        </w:r>
        <w:r w:rsidR="00862E71" w:rsidRPr="00EF3AAD">
          <w:rPr>
            <w:rStyle w:val="Hyperlink"/>
            <w:noProof/>
          </w:rPr>
          <w:t>United States</w:t>
        </w:r>
        <w:r w:rsidR="00862E71">
          <w:rPr>
            <w:noProof/>
            <w:webHidden/>
          </w:rPr>
          <w:tab/>
        </w:r>
        <w:r w:rsidR="00862E71">
          <w:rPr>
            <w:noProof/>
            <w:webHidden/>
          </w:rPr>
          <w:fldChar w:fldCharType="begin"/>
        </w:r>
        <w:r w:rsidR="00862E71">
          <w:rPr>
            <w:noProof/>
            <w:webHidden/>
          </w:rPr>
          <w:instrText xml:space="preserve"> PAGEREF _Toc122602203 \h </w:instrText>
        </w:r>
        <w:r w:rsidR="00862E71">
          <w:rPr>
            <w:noProof/>
            <w:webHidden/>
          </w:rPr>
        </w:r>
        <w:r w:rsidR="00862E71">
          <w:rPr>
            <w:noProof/>
            <w:webHidden/>
          </w:rPr>
          <w:fldChar w:fldCharType="separate"/>
        </w:r>
        <w:r w:rsidR="00862E71">
          <w:rPr>
            <w:noProof/>
            <w:webHidden/>
          </w:rPr>
          <w:t>11</w:t>
        </w:r>
        <w:r w:rsidR="00862E71">
          <w:rPr>
            <w:noProof/>
            <w:webHidden/>
          </w:rPr>
          <w:fldChar w:fldCharType="end"/>
        </w:r>
      </w:hyperlink>
    </w:p>
    <w:p w14:paraId="1FD1EF13" w14:textId="578CE377" w:rsidR="00862E71" w:rsidRDefault="00E75AFC" w:rsidP="00054CA2">
      <w:pPr>
        <w:pStyle w:val="TOC3"/>
        <w:rPr>
          <w:rFonts w:eastAsiaTheme="minorEastAsia" w:cstheme="minorBidi"/>
          <w:noProof/>
          <w:sz w:val="22"/>
          <w:szCs w:val="22"/>
          <w:lang w:val="en-AU" w:eastAsia="en-AU" w:bidi="ar-SA"/>
        </w:rPr>
      </w:pPr>
      <w:hyperlink w:anchor="_Toc122602204" w:history="1">
        <w:r w:rsidR="00862E71" w:rsidRPr="00EF3AAD">
          <w:rPr>
            <w:rStyle w:val="Hyperlink"/>
            <w:noProof/>
          </w:rPr>
          <w:t>2.3.4</w:t>
        </w:r>
        <w:r w:rsidR="00862E71">
          <w:rPr>
            <w:rFonts w:eastAsiaTheme="minorEastAsia" w:cstheme="minorBidi"/>
            <w:noProof/>
            <w:sz w:val="22"/>
            <w:szCs w:val="22"/>
            <w:lang w:val="en-AU" w:eastAsia="en-AU" w:bidi="ar-SA"/>
          </w:rPr>
          <w:tab/>
        </w:r>
        <w:r w:rsidR="00862E71" w:rsidRPr="00EF3AAD">
          <w:rPr>
            <w:rStyle w:val="Hyperlink"/>
            <w:noProof/>
          </w:rPr>
          <w:t>Canada</w:t>
        </w:r>
        <w:r w:rsidR="00862E71">
          <w:rPr>
            <w:noProof/>
            <w:webHidden/>
          </w:rPr>
          <w:tab/>
        </w:r>
        <w:r w:rsidR="00862E71">
          <w:rPr>
            <w:noProof/>
            <w:webHidden/>
          </w:rPr>
          <w:fldChar w:fldCharType="begin"/>
        </w:r>
        <w:r w:rsidR="00862E71">
          <w:rPr>
            <w:noProof/>
            <w:webHidden/>
          </w:rPr>
          <w:instrText xml:space="preserve"> PAGEREF _Toc122602204 \h </w:instrText>
        </w:r>
        <w:r w:rsidR="00862E71">
          <w:rPr>
            <w:noProof/>
            <w:webHidden/>
          </w:rPr>
        </w:r>
        <w:r w:rsidR="00862E71">
          <w:rPr>
            <w:noProof/>
            <w:webHidden/>
          </w:rPr>
          <w:fldChar w:fldCharType="separate"/>
        </w:r>
        <w:r w:rsidR="00862E71">
          <w:rPr>
            <w:noProof/>
            <w:webHidden/>
          </w:rPr>
          <w:t>12</w:t>
        </w:r>
        <w:r w:rsidR="00862E71">
          <w:rPr>
            <w:noProof/>
            <w:webHidden/>
          </w:rPr>
          <w:fldChar w:fldCharType="end"/>
        </w:r>
      </w:hyperlink>
    </w:p>
    <w:p w14:paraId="53CD6872" w14:textId="65336191" w:rsidR="00862E71" w:rsidRDefault="00E75AFC" w:rsidP="00054CA2">
      <w:pPr>
        <w:pStyle w:val="TOC3"/>
        <w:rPr>
          <w:rFonts w:eastAsiaTheme="minorEastAsia" w:cstheme="minorBidi"/>
          <w:noProof/>
          <w:sz w:val="22"/>
          <w:szCs w:val="22"/>
          <w:lang w:val="en-AU" w:eastAsia="en-AU" w:bidi="ar-SA"/>
        </w:rPr>
      </w:pPr>
      <w:hyperlink w:anchor="_Toc122602205" w:history="1">
        <w:r w:rsidR="00862E71" w:rsidRPr="00EF3AAD">
          <w:rPr>
            <w:rStyle w:val="Hyperlink"/>
            <w:noProof/>
          </w:rPr>
          <w:t>2.3.5</w:t>
        </w:r>
        <w:r w:rsidR="00862E71">
          <w:rPr>
            <w:rFonts w:eastAsiaTheme="minorEastAsia" w:cstheme="minorBidi"/>
            <w:noProof/>
            <w:sz w:val="22"/>
            <w:szCs w:val="22"/>
            <w:lang w:val="en-AU" w:eastAsia="en-AU" w:bidi="ar-SA"/>
          </w:rPr>
          <w:tab/>
        </w:r>
        <w:r w:rsidR="00862E71" w:rsidRPr="00EF3AAD">
          <w:rPr>
            <w:rStyle w:val="Hyperlink"/>
            <w:noProof/>
          </w:rPr>
          <w:t>Singapore</w:t>
        </w:r>
        <w:r w:rsidR="00862E71">
          <w:rPr>
            <w:noProof/>
            <w:webHidden/>
          </w:rPr>
          <w:tab/>
        </w:r>
        <w:r w:rsidR="00862E71">
          <w:rPr>
            <w:noProof/>
            <w:webHidden/>
          </w:rPr>
          <w:fldChar w:fldCharType="begin"/>
        </w:r>
        <w:r w:rsidR="00862E71">
          <w:rPr>
            <w:noProof/>
            <w:webHidden/>
          </w:rPr>
          <w:instrText xml:space="preserve"> PAGEREF _Toc122602205 \h </w:instrText>
        </w:r>
        <w:r w:rsidR="00862E71">
          <w:rPr>
            <w:noProof/>
            <w:webHidden/>
          </w:rPr>
        </w:r>
        <w:r w:rsidR="00862E71">
          <w:rPr>
            <w:noProof/>
            <w:webHidden/>
          </w:rPr>
          <w:fldChar w:fldCharType="separate"/>
        </w:r>
        <w:r w:rsidR="00862E71">
          <w:rPr>
            <w:noProof/>
            <w:webHidden/>
          </w:rPr>
          <w:t>12</w:t>
        </w:r>
        <w:r w:rsidR="00862E71">
          <w:rPr>
            <w:noProof/>
            <w:webHidden/>
          </w:rPr>
          <w:fldChar w:fldCharType="end"/>
        </w:r>
      </w:hyperlink>
    </w:p>
    <w:p w14:paraId="0A2CAE44" w14:textId="5DC51723" w:rsidR="00862E71" w:rsidRDefault="00E75AFC" w:rsidP="00054CA2">
      <w:pPr>
        <w:pStyle w:val="TOC3"/>
        <w:rPr>
          <w:rFonts w:eastAsiaTheme="minorEastAsia" w:cstheme="minorBidi"/>
          <w:noProof/>
          <w:sz w:val="22"/>
          <w:szCs w:val="22"/>
          <w:lang w:val="en-AU" w:eastAsia="en-AU" w:bidi="ar-SA"/>
        </w:rPr>
      </w:pPr>
      <w:hyperlink w:anchor="_Toc122602206" w:history="1">
        <w:r w:rsidR="00862E71" w:rsidRPr="00EF3AAD">
          <w:rPr>
            <w:rStyle w:val="Hyperlink"/>
            <w:noProof/>
          </w:rPr>
          <w:t>2.3.6</w:t>
        </w:r>
        <w:r w:rsidR="00862E71">
          <w:rPr>
            <w:rFonts w:eastAsiaTheme="minorEastAsia" w:cstheme="minorBidi"/>
            <w:noProof/>
            <w:sz w:val="22"/>
            <w:szCs w:val="22"/>
            <w:lang w:val="en-AU" w:eastAsia="en-AU" w:bidi="ar-SA"/>
          </w:rPr>
          <w:tab/>
        </w:r>
        <w:r w:rsidR="00862E71" w:rsidRPr="00EF3AAD">
          <w:rPr>
            <w:rStyle w:val="Hyperlink"/>
            <w:noProof/>
          </w:rPr>
          <w:t>Malaysia</w:t>
        </w:r>
        <w:r w:rsidR="00862E71">
          <w:rPr>
            <w:noProof/>
            <w:webHidden/>
          </w:rPr>
          <w:tab/>
        </w:r>
        <w:r w:rsidR="00862E71">
          <w:rPr>
            <w:noProof/>
            <w:webHidden/>
          </w:rPr>
          <w:fldChar w:fldCharType="begin"/>
        </w:r>
        <w:r w:rsidR="00862E71">
          <w:rPr>
            <w:noProof/>
            <w:webHidden/>
          </w:rPr>
          <w:instrText xml:space="preserve"> PAGEREF _Toc122602206 \h </w:instrText>
        </w:r>
        <w:r w:rsidR="00862E71">
          <w:rPr>
            <w:noProof/>
            <w:webHidden/>
          </w:rPr>
        </w:r>
        <w:r w:rsidR="00862E71">
          <w:rPr>
            <w:noProof/>
            <w:webHidden/>
          </w:rPr>
          <w:fldChar w:fldCharType="separate"/>
        </w:r>
        <w:r w:rsidR="00862E71">
          <w:rPr>
            <w:noProof/>
            <w:webHidden/>
          </w:rPr>
          <w:t>12</w:t>
        </w:r>
        <w:r w:rsidR="00862E71">
          <w:rPr>
            <w:noProof/>
            <w:webHidden/>
          </w:rPr>
          <w:fldChar w:fldCharType="end"/>
        </w:r>
      </w:hyperlink>
    </w:p>
    <w:p w14:paraId="6F2619CD" w14:textId="48649D36" w:rsidR="00862E71" w:rsidRDefault="00E75AFC" w:rsidP="00054CA2">
      <w:pPr>
        <w:pStyle w:val="TOC3"/>
        <w:rPr>
          <w:rFonts w:eastAsiaTheme="minorEastAsia" w:cstheme="minorBidi"/>
          <w:noProof/>
          <w:sz w:val="22"/>
          <w:szCs w:val="22"/>
          <w:lang w:val="en-AU" w:eastAsia="en-AU" w:bidi="ar-SA"/>
        </w:rPr>
      </w:pPr>
      <w:hyperlink w:anchor="_Toc122602207" w:history="1">
        <w:r w:rsidR="00862E71" w:rsidRPr="00EF3AAD">
          <w:rPr>
            <w:rStyle w:val="Hyperlink"/>
            <w:noProof/>
          </w:rPr>
          <w:t>2.3.7</w:t>
        </w:r>
        <w:r w:rsidR="00862E71">
          <w:rPr>
            <w:rFonts w:eastAsiaTheme="minorEastAsia" w:cstheme="minorBidi"/>
            <w:noProof/>
            <w:sz w:val="22"/>
            <w:szCs w:val="22"/>
            <w:lang w:val="en-AU" w:eastAsia="en-AU" w:bidi="ar-SA"/>
          </w:rPr>
          <w:tab/>
        </w:r>
        <w:r w:rsidR="00862E71" w:rsidRPr="00EF3AAD">
          <w:rPr>
            <w:rStyle w:val="Hyperlink"/>
            <w:noProof/>
          </w:rPr>
          <w:t>Japan</w:t>
        </w:r>
        <w:r w:rsidR="00862E71">
          <w:rPr>
            <w:noProof/>
            <w:webHidden/>
          </w:rPr>
          <w:tab/>
        </w:r>
        <w:r w:rsidR="00862E71">
          <w:rPr>
            <w:noProof/>
            <w:webHidden/>
          </w:rPr>
          <w:fldChar w:fldCharType="begin"/>
        </w:r>
        <w:r w:rsidR="00862E71">
          <w:rPr>
            <w:noProof/>
            <w:webHidden/>
          </w:rPr>
          <w:instrText xml:space="preserve"> PAGEREF _Toc122602207 \h </w:instrText>
        </w:r>
        <w:r w:rsidR="00862E71">
          <w:rPr>
            <w:noProof/>
            <w:webHidden/>
          </w:rPr>
        </w:r>
        <w:r w:rsidR="00862E71">
          <w:rPr>
            <w:noProof/>
            <w:webHidden/>
          </w:rPr>
          <w:fldChar w:fldCharType="separate"/>
        </w:r>
        <w:r w:rsidR="00862E71">
          <w:rPr>
            <w:noProof/>
            <w:webHidden/>
          </w:rPr>
          <w:t>12</w:t>
        </w:r>
        <w:r w:rsidR="00862E71">
          <w:rPr>
            <w:noProof/>
            <w:webHidden/>
          </w:rPr>
          <w:fldChar w:fldCharType="end"/>
        </w:r>
      </w:hyperlink>
    </w:p>
    <w:p w14:paraId="23B8C908" w14:textId="3BD8F424" w:rsidR="00862E71" w:rsidRDefault="00E75AFC">
      <w:pPr>
        <w:pStyle w:val="TOC1"/>
        <w:tabs>
          <w:tab w:val="left" w:pos="440"/>
        </w:tabs>
        <w:rPr>
          <w:rFonts w:eastAsiaTheme="minorEastAsia" w:cstheme="minorBidi"/>
          <w:b w:val="0"/>
          <w:bCs w:val="0"/>
          <w:caps w:val="0"/>
          <w:noProof/>
          <w:sz w:val="22"/>
          <w:szCs w:val="22"/>
          <w:lang w:val="en-AU" w:eastAsia="en-AU" w:bidi="ar-SA"/>
        </w:rPr>
      </w:pPr>
      <w:hyperlink w:anchor="_Toc122602208" w:history="1">
        <w:r w:rsidR="00862E71" w:rsidRPr="00EF3AAD">
          <w:rPr>
            <w:rStyle w:val="Hyperlink"/>
            <w:noProof/>
            <w:lang w:eastAsia="en-AU"/>
          </w:rPr>
          <w:t>3</w:t>
        </w:r>
        <w:r w:rsidR="00862E71">
          <w:rPr>
            <w:rFonts w:eastAsiaTheme="minorEastAsia" w:cstheme="minorBidi"/>
            <w:b w:val="0"/>
            <w:bCs w:val="0"/>
            <w:caps w:val="0"/>
            <w:noProof/>
            <w:sz w:val="22"/>
            <w:szCs w:val="22"/>
            <w:lang w:val="en-AU" w:eastAsia="en-AU" w:bidi="ar-SA"/>
          </w:rPr>
          <w:tab/>
        </w:r>
        <w:r w:rsidR="00862E71" w:rsidRPr="00EF3AAD">
          <w:rPr>
            <w:rStyle w:val="Hyperlink"/>
            <w:noProof/>
            <w:lang w:eastAsia="en-AU"/>
          </w:rPr>
          <w:t>Relevant Considerations</w:t>
        </w:r>
        <w:r w:rsidR="00862E71">
          <w:rPr>
            <w:noProof/>
            <w:webHidden/>
          </w:rPr>
          <w:tab/>
        </w:r>
        <w:r w:rsidR="00862E71">
          <w:rPr>
            <w:noProof/>
            <w:webHidden/>
          </w:rPr>
          <w:fldChar w:fldCharType="begin"/>
        </w:r>
        <w:r w:rsidR="00862E71">
          <w:rPr>
            <w:noProof/>
            <w:webHidden/>
          </w:rPr>
          <w:instrText xml:space="preserve"> PAGEREF _Toc122602208 \h </w:instrText>
        </w:r>
        <w:r w:rsidR="00862E71">
          <w:rPr>
            <w:noProof/>
            <w:webHidden/>
          </w:rPr>
        </w:r>
        <w:r w:rsidR="00862E71">
          <w:rPr>
            <w:noProof/>
            <w:webHidden/>
          </w:rPr>
          <w:fldChar w:fldCharType="separate"/>
        </w:r>
        <w:r w:rsidR="00862E71">
          <w:rPr>
            <w:noProof/>
            <w:webHidden/>
          </w:rPr>
          <w:t>13</w:t>
        </w:r>
        <w:r w:rsidR="00862E71">
          <w:rPr>
            <w:noProof/>
            <w:webHidden/>
          </w:rPr>
          <w:fldChar w:fldCharType="end"/>
        </w:r>
      </w:hyperlink>
    </w:p>
    <w:p w14:paraId="0304FF9E" w14:textId="1A44517D" w:rsidR="00862E71" w:rsidRDefault="00E75AFC">
      <w:pPr>
        <w:pStyle w:val="TOC2"/>
        <w:tabs>
          <w:tab w:val="left" w:pos="880"/>
          <w:tab w:val="right" w:leader="dot" w:pos="9060"/>
        </w:tabs>
        <w:rPr>
          <w:rFonts w:eastAsiaTheme="minorEastAsia" w:cstheme="minorBidi"/>
          <w:smallCaps w:val="0"/>
          <w:noProof/>
          <w:sz w:val="22"/>
          <w:szCs w:val="22"/>
          <w:lang w:val="en-AU" w:eastAsia="en-AU" w:bidi="ar-SA"/>
        </w:rPr>
      </w:pPr>
      <w:hyperlink w:anchor="_Toc122602209" w:history="1">
        <w:r w:rsidR="00862E71" w:rsidRPr="00EF3AAD">
          <w:rPr>
            <w:rStyle w:val="Hyperlink"/>
            <w:noProof/>
          </w:rPr>
          <w:t>3.1</w:t>
        </w:r>
        <w:r w:rsidR="00862E71">
          <w:rPr>
            <w:rFonts w:eastAsiaTheme="minorEastAsia" w:cstheme="minorBidi"/>
            <w:smallCaps w:val="0"/>
            <w:noProof/>
            <w:sz w:val="22"/>
            <w:szCs w:val="22"/>
            <w:lang w:val="en-AU" w:eastAsia="en-AU" w:bidi="ar-SA"/>
          </w:rPr>
          <w:tab/>
        </w:r>
        <w:r w:rsidR="00862E71" w:rsidRPr="00EF3AAD">
          <w:rPr>
            <w:rStyle w:val="Hyperlink"/>
            <w:noProof/>
          </w:rPr>
          <w:t>Market Overview</w:t>
        </w:r>
        <w:r w:rsidR="00862E71">
          <w:rPr>
            <w:noProof/>
            <w:webHidden/>
          </w:rPr>
          <w:tab/>
        </w:r>
        <w:r w:rsidR="00862E71">
          <w:rPr>
            <w:noProof/>
            <w:webHidden/>
          </w:rPr>
          <w:fldChar w:fldCharType="begin"/>
        </w:r>
        <w:r w:rsidR="00862E71">
          <w:rPr>
            <w:noProof/>
            <w:webHidden/>
          </w:rPr>
          <w:instrText xml:space="preserve"> PAGEREF _Toc122602209 \h </w:instrText>
        </w:r>
        <w:r w:rsidR="00862E71">
          <w:rPr>
            <w:noProof/>
            <w:webHidden/>
          </w:rPr>
        </w:r>
        <w:r w:rsidR="00862E71">
          <w:rPr>
            <w:noProof/>
            <w:webHidden/>
          </w:rPr>
          <w:fldChar w:fldCharType="separate"/>
        </w:r>
        <w:r w:rsidR="00862E71">
          <w:rPr>
            <w:noProof/>
            <w:webHidden/>
          </w:rPr>
          <w:t>13</w:t>
        </w:r>
        <w:r w:rsidR="00862E71">
          <w:rPr>
            <w:noProof/>
            <w:webHidden/>
          </w:rPr>
          <w:fldChar w:fldCharType="end"/>
        </w:r>
      </w:hyperlink>
    </w:p>
    <w:p w14:paraId="71CEFD5A" w14:textId="04487A46" w:rsidR="00862E71" w:rsidRDefault="00E75AFC">
      <w:pPr>
        <w:pStyle w:val="TOC2"/>
        <w:tabs>
          <w:tab w:val="left" w:pos="880"/>
          <w:tab w:val="right" w:leader="dot" w:pos="9060"/>
        </w:tabs>
        <w:rPr>
          <w:rFonts w:eastAsiaTheme="minorEastAsia" w:cstheme="minorBidi"/>
          <w:smallCaps w:val="0"/>
          <w:noProof/>
          <w:sz w:val="22"/>
          <w:szCs w:val="22"/>
          <w:lang w:val="en-AU" w:eastAsia="en-AU" w:bidi="ar-SA"/>
        </w:rPr>
      </w:pPr>
      <w:hyperlink w:anchor="_Toc122602210" w:history="1">
        <w:r w:rsidR="00862E71" w:rsidRPr="00EF3AAD">
          <w:rPr>
            <w:rStyle w:val="Hyperlink"/>
            <w:noProof/>
          </w:rPr>
          <w:t>3.2</w:t>
        </w:r>
        <w:r w:rsidR="00862E71">
          <w:rPr>
            <w:rFonts w:eastAsiaTheme="minorEastAsia" w:cstheme="minorBidi"/>
            <w:smallCaps w:val="0"/>
            <w:noProof/>
            <w:sz w:val="22"/>
            <w:szCs w:val="22"/>
            <w:lang w:val="en-AU" w:eastAsia="en-AU" w:bidi="ar-SA"/>
          </w:rPr>
          <w:tab/>
        </w:r>
        <w:r w:rsidR="00862E71" w:rsidRPr="00EF3AAD">
          <w:rPr>
            <w:rStyle w:val="Hyperlink"/>
            <w:noProof/>
          </w:rPr>
          <w:t>Global Market</w:t>
        </w:r>
        <w:r w:rsidR="00862E71">
          <w:rPr>
            <w:noProof/>
            <w:webHidden/>
          </w:rPr>
          <w:tab/>
        </w:r>
        <w:r w:rsidR="00862E71">
          <w:rPr>
            <w:noProof/>
            <w:webHidden/>
          </w:rPr>
          <w:fldChar w:fldCharType="begin"/>
        </w:r>
        <w:r w:rsidR="00862E71">
          <w:rPr>
            <w:noProof/>
            <w:webHidden/>
          </w:rPr>
          <w:instrText xml:space="preserve"> PAGEREF _Toc122602210 \h </w:instrText>
        </w:r>
        <w:r w:rsidR="00862E71">
          <w:rPr>
            <w:noProof/>
            <w:webHidden/>
          </w:rPr>
        </w:r>
        <w:r w:rsidR="00862E71">
          <w:rPr>
            <w:noProof/>
            <w:webHidden/>
          </w:rPr>
          <w:fldChar w:fldCharType="separate"/>
        </w:r>
        <w:r w:rsidR="00862E71">
          <w:rPr>
            <w:noProof/>
            <w:webHidden/>
          </w:rPr>
          <w:t>13</w:t>
        </w:r>
        <w:r w:rsidR="00862E71">
          <w:rPr>
            <w:noProof/>
            <w:webHidden/>
          </w:rPr>
          <w:fldChar w:fldCharType="end"/>
        </w:r>
      </w:hyperlink>
    </w:p>
    <w:p w14:paraId="2CDA654D" w14:textId="39239342" w:rsidR="00862E71" w:rsidRDefault="00E75AFC" w:rsidP="00054CA2">
      <w:pPr>
        <w:pStyle w:val="TOC3"/>
        <w:rPr>
          <w:rFonts w:eastAsiaTheme="minorEastAsia" w:cstheme="minorBidi"/>
          <w:noProof/>
          <w:sz w:val="22"/>
          <w:szCs w:val="22"/>
          <w:lang w:val="en-AU" w:eastAsia="en-AU" w:bidi="ar-SA"/>
        </w:rPr>
      </w:pPr>
      <w:hyperlink w:anchor="_Toc122602211" w:history="1">
        <w:r w:rsidR="00862E71" w:rsidRPr="00EF3AAD">
          <w:rPr>
            <w:rStyle w:val="Hyperlink"/>
            <w:noProof/>
            <w:lang w:val="en-AU"/>
          </w:rPr>
          <w:t>3.2.1</w:t>
        </w:r>
        <w:r w:rsidR="00862E71">
          <w:rPr>
            <w:rFonts w:eastAsiaTheme="minorEastAsia" w:cstheme="minorBidi"/>
            <w:noProof/>
            <w:sz w:val="22"/>
            <w:szCs w:val="22"/>
            <w:lang w:val="en-AU" w:eastAsia="en-AU" w:bidi="ar-SA"/>
          </w:rPr>
          <w:tab/>
        </w:r>
        <w:r w:rsidR="00862E71" w:rsidRPr="00EF3AAD">
          <w:rPr>
            <w:rStyle w:val="Hyperlink"/>
            <w:noProof/>
          </w:rPr>
          <w:t>Australian market</w:t>
        </w:r>
        <w:r w:rsidR="00862E71">
          <w:rPr>
            <w:noProof/>
            <w:webHidden/>
          </w:rPr>
          <w:tab/>
        </w:r>
        <w:r w:rsidR="00862E71">
          <w:rPr>
            <w:noProof/>
            <w:webHidden/>
          </w:rPr>
          <w:fldChar w:fldCharType="begin"/>
        </w:r>
        <w:r w:rsidR="00862E71">
          <w:rPr>
            <w:noProof/>
            <w:webHidden/>
          </w:rPr>
          <w:instrText xml:space="preserve"> PAGEREF _Toc122602211 \h </w:instrText>
        </w:r>
        <w:r w:rsidR="00862E71">
          <w:rPr>
            <w:noProof/>
            <w:webHidden/>
          </w:rPr>
        </w:r>
        <w:r w:rsidR="00862E71">
          <w:rPr>
            <w:noProof/>
            <w:webHidden/>
          </w:rPr>
          <w:fldChar w:fldCharType="separate"/>
        </w:r>
        <w:r w:rsidR="00862E71">
          <w:rPr>
            <w:noProof/>
            <w:webHidden/>
          </w:rPr>
          <w:t>13</w:t>
        </w:r>
        <w:r w:rsidR="00862E71">
          <w:rPr>
            <w:noProof/>
            <w:webHidden/>
          </w:rPr>
          <w:fldChar w:fldCharType="end"/>
        </w:r>
      </w:hyperlink>
    </w:p>
    <w:p w14:paraId="516D1243" w14:textId="56824833" w:rsidR="00862E71" w:rsidRDefault="00E75AFC" w:rsidP="00054CA2">
      <w:pPr>
        <w:pStyle w:val="TOC3"/>
        <w:rPr>
          <w:rFonts w:eastAsiaTheme="minorEastAsia" w:cstheme="minorBidi"/>
          <w:noProof/>
          <w:sz w:val="22"/>
          <w:szCs w:val="22"/>
          <w:lang w:val="en-AU" w:eastAsia="en-AU" w:bidi="ar-SA"/>
        </w:rPr>
      </w:pPr>
      <w:hyperlink w:anchor="_Toc122602212" w:history="1">
        <w:r w:rsidR="00862E71" w:rsidRPr="00EF3AAD">
          <w:rPr>
            <w:rStyle w:val="Hyperlink"/>
            <w:noProof/>
          </w:rPr>
          <w:t>3.2.2</w:t>
        </w:r>
        <w:r w:rsidR="00862E71">
          <w:rPr>
            <w:rFonts w:eastAsiaTheme="minorEastAsia" w:cstheme="minorBidi"/>
            <w:noProof/>
            <w:sz w:val="22"/>
            <w:szCs w:val="22"/>
            <w:lang w:val="en-AU" w:eastAsia="en-AU" w:bidi="ar-SA"/>
          </w:rPr>
          <w:tab/>
        </w:r>
        <w:r w:rsidR="00862E71" w:rsidRPr="00EF3AAD">
          <w:rPr>
            <w:rStyle w:val="Hyperlink"/>
            <w:noProof/>
          </w:rPr>
          <w:t>New Zealand Market</w:t>
        </w:r>
        <w:r w:rsidR="00862E71">
          <w:rPr>
            <w:noProof/>
            <w:webHidden/>
          </w:rPr>
          <w:tab/>
        </w:r>
        <w:r w:rsidR="00862E71">
          <w:rPr>
            <w:noProof/>
            <w:webHidden/>
          </w:rPr>
          <w:fldChar w:fldCharType="begin"/>
        </w:r>
        <w:r w:rsidR="00862E71">
          <w:rPr>
            <w:noProof/>
            <w:webHidden/>
          </w:rPr>
          <w:instrText xml:space="preserve"> PAGEREF _Toc122602212 \h </w:instrText>
        </w:r>
        <w:r w:rsidR="00862E71">
          <w:rPr>
            <w:noProof/>
            <w:webHidden/>
          </w:rPr>
        </w:r>
        <w:r w:rsidR="00862E71">
          <w:rPr>
            <w:noProof/>
            <w:webHidden/>
          </w:rPr>
          <w:fldChar w:fldCharType="separate"/>
        </w:r>
        <w:r w:rsidR="00862E71">
          <w:rPr>
            <w:noProof/>
            <w:webHidden/>
          </w:rPr>
          <w:t>14</w:t>
        </w:r>
        <w:r w:rsidR="00862E71">
          <w:rPr>
            <w:noProof/>
            <w:webHidden/>
          </w:rPr>
          <w:fldChar w:fldCharType="end"/>
        </w:r>
      </w:hyperlink>
    </w:p>
    <w:p w14:paraId="606285A1" w14:textId="66230422" w:rsidR="00862E71" w:rsidRDefault="00E75AFC" w:rsidP="00054CA2">
      <w:pPr>
        <w:pStyle w:val="TOC3"/>
        <w:rPr>
          <w:rFonts w:eastAsiaTheme="minorEastAsia" w:cstheme="minorBidi"/>
          <w:noProof/>
          <w:sz w:val="22"/>
          <w:szCs w:val="22"/>
          <w:lang w:val="en-AU" w:eastAsia="en-AU" w:bidi="ar-SA"/>
        </w:rPr>
      </w:pPr>
      <w:hyperlink w:anchor="_Toc122602213" w:history="1">
        <w:r w:rsidR="00862E71" w:rsidRPr="00EF3AAD">
          <w:rPr>
            <w:rStyle w:val="Hyperlink"/>
            <w:noProof/>
            <w:lang w:val="en-AU"/>
          </w:rPr>
          <w:t>3.2.3</w:t>
        </w:r>
        <w:r w:rsidR="00862E71">
          <w:rPr>
            <w:rFonts w:eastAsiaTheme="minorEastAsia" w:cstheme="minorBidi"/>
            <w:noProof/>
            <w:sz w:val="22"/>
            <w:szCs w:val="22"/>
            <w:lang w:val="en-AU" w:eastAsia="en-AU" w:bidi="ar-SA"/>
          </w:rPr>
          <w:tab/>
        </w:r>
        <w:r w:rsidR="00862E71" w:rsidRPr="00EF3AAD">
          <w:rPr>
            <w:rStyle w:val="Hyperlink"/>
            <w:noProof/>
            <w:lang w:val="en-AU"/>
          </w:rPr>
          <w:t>Questions</w:t>
        </w:r>
        <w:r w:rsidR="00862E71">
          <w:rPr>
            <w:noProof/>
            <w:webHidden/>
          </w:rPr>
          <w:tab/>
        </w:r>
        <w:r w:rsidR="00862E71">
          <w:rPr>
            <w:noProof/>
            <w:webHidden/>
          </w:rPr>
          <w:fldChar w:fldCharType="begin"/>
        </w:r>
        <w:r w:rsidR="00862E71">
          <w:rPr>
            <w:noProof/>
            <w:webHidden/>
          </w:rPr>
          <w:instrText xml:space="preserve"> PAGEREF _Toc122602213 \h </w:instrText>
        </w:r>
        <w:r w:rsidR="00862E71">
          <w:rPr>
            <w:noProof/>
            <w:webHidden/>
          </w:rPr>
        </w:r>
        <w:r w:rsidR="00862E71">
          <w:rPr>
            <w:noProof/>
            <w:webHidden/>
          </w:rPr>
          <w:fldChar w:fldCharType="separate"/>
        </w:r>
        <w:r w:rsidR="00862E71">
          <w:rPr>
            <w:noProof/>
            <w:webHidden/>
          </w:rPr>
          <w:t>15</w:t>
        </w:r>
        <w:r w:rsidR="00862E71">
          <w:rPr>
            <w:noProof/>
            <w:webHidden/>
          </w:rPr>
          <w:fldChar w:fldCharType="end"/>
        </w:r>
      </w:hyperlink>
    </w:p>
    <w:p w14:paraId="3EAD63E7" w14:textId="6E7EA24B" w:rsidR="00862E71" w:rsidRDefault="00E75AFC">
      <w:pPr>
        <w:pStyle w:val="TOC1"/>
        <w:tabs>
          <w:tab w:val="left" w:pos="440"/>
        </w:tabs>
        <w:rPr>
          <w:rFonts w:eastAsiaTheme="minorEastAsia" w:cstheme="minorBidi"/>
          <w:b w:val="0"/>
          <w:bCs w:val="0"/>
          <w:caps w:val="0"/>
          <w:noProof/>
          <w:sz w:val="22"/>
          <w:szCs w:val="22"/>
          <w:lang w:val="en-AU" w:eastAsia="en-AU" w:bidi="ar-SA"/>
        </w:rPr>
      </w:pPr>
      <w:hyperlink w:anchor="_Toc122602214" w:history="1">
        <w:r w:rsidR="00862E71" w:rsidRPr="00EF3AAD">
          <w:rPr>
            <w:rStyle w:val="Hyperlink"/>
            <w:noProof/>
            <w:lang w:eastAsia="en-AU"/>
          </w:rPr>
          <w:t>4</w:t>
        </w:r>
        <w:r w:rsidR="00862E71">
          <w:rPr>
            <w:rFonts w:eastAsiaTheme="minorEastAsia" w:cstheme="minorBidi"/>
            <w:b w:val="0"/>
            <w:bCs w:val="0"/>
            <w:caps w:val="0"/>
            <w:noProof/>
            <w:sz w:val="22"/>
            <w:szCs w:val="22"/>
            <w:lang w:val="en-AU" w:eastAsia="en-AU" w:bidi="ar-SA"/>
          </w:rPr>
          <w:tab/>
        </w:r>
        <w:r w:rsidR="00862E71" w:rsidRPr="00EF3AAD">
          <w:rPr>
            <w:rStyle w:val="Hyperlink"/>
            <w:noProof/>
            <w:lang w:eastAsia="en-AU"/>
          </w:rPr>
          <w:t>Regulatory Considerations</w:t>
        </w:r>
        <w:r w:rsidR="00862E71">
          <w:rPr>
            <w:noProof/>
            <w:webHidden/>
          </w:rPr>
          <w:tab/>
        </w:r>
        <w:r w:rsidR="00862E71">
          <w:rPr>
            <w:noProof/>
            <w:webHidden/>
          </w:rPr>
          <w:fldChar w:fldCharType="begin"/>
        </w:r>
        <w:r w:rsidR="00862E71">
          <w:rPr>
            <w:noProof/>
            <w:webHidden/>
          </w:rPr>
          <w:instrText xml:space="preserve"> PAGEREF _Toc122602214 \h </w:instrText>
        </w:r>
        <w:r w:rsidR="00862E71">
          <w:rPr>
            <w:noProof/>
            <w:webHidden/>
          </w:rPr>
        </w:r>
        <w:r w:rsidR="00862E71">
          <w:rPr>
            <w:noProof/>
            <w:webHidden/>
          </w:rPr>
          <w:fldChar w:fldCharType="separate"/>
        </w:r>
        <w:r w:rsidR="00862E71">
          <w:rPr>
            <w:noProof/>
            <w:webHidden/>
          </w:rPr>
          <w:t>15</w:t>
        </w:r>
        <w:r w:rsidR="00862E71">
          <w:rPr>
            <w:noProof/>
            <w:webHidden/>
          </w:rPr>
          <w:fldChar w:fldCharType="end"/>
        </w:r>
      </w:hyperlink>
    </w:p>
    <w:p w14:paraId="1CDE7CC5" w14:textId="48116727" w:rsidR="00862E71" w:rsidRDefault="00E75AFC">
      <w:pPr>
        <w:pStyle w:val="TOC2"/>
        <w:tabs>
          <w:tab w:val="left" w:pos="880"/>
          <w:tab w:val="right" w:leader="dot" w:pos="9060"/>
        </w:tabs>
        <w:rPr>
          <w:rFonts w:eastAsiaTheme="minorEastAsia" w:cstheme="minorBidi"/>
          <w:smallCaps w:val="0"/>
          <w:noProof/>
          <w:sz w:val="22"/>
          <w:szCs w:val="22"/>
          <w:lang w:val="en-AU" w:eastAsia="en-AU" w:bidi="ar-SA"/>
        </w:rPr>
      </w:pPr>
      <w:hyperlink w:anchor="_Toc122602215" w:history="1">
        <w:r w:rsidR="00862E71" w:rsidRPr="00EF3AAD">
          <w:rPr>
            <w:rStyle w:val="Hyperlink"/>
            <w:noProof/>
          </w:rPr>
          <w:t>4.1</w:t>
        </w:r>
        <w:r w:rsidR="00862E71">
          <w:rPr>
            <w:rFonts w:eastAsiaTheme="minorEastAsia" w:cstheme="minorBidi"/>
            <w:smallCaps w:val="0"/>
            <w:noProof/>
            <w:sz w:val="22"/>
            <w:szCs w:val="22"/>
            <w:lang w:val="en-AU" w:eastAsia="en-AU" w:bidi="ar-SA"/>
          </w:rPr>
          <w:tab/>
        </w:r>
        <w:r w:rsidR="00862E71" w:rsidRPr="00EF3AAD">
          <w:rPr>
            <w:rStyle w:val="Hyperlink"/>
            <w:noProof/>
          </w:rPr>
          <w:t>The purpose of Standard 2.9.4</w:t>
        </w:r>
        <w:r w:rsidR="00862E71">
          <w:rPr>
            <w:noProof/>
            <w:webHidden/>
          </w:rPr>
          <w:tab/>
        </w:r>
        <w:r w:rsidR="00862E71">
          <w:rPr>
            <w:noProof/>
            <w:webHidden/>
          </w:rPr>
          <w:fldChar w:fldCharType="begin"/>
        </w:r>
        <w:r w:rsidR="00862E71">
          <w:rPr>
            <w:noProof/>
            <w:webHidden/>
          </w:rPr>
          <w:instrText xml:space="preserve"> PAGEREF _Toc122602215 \h </w:instrText>
        </w:r>
        <w:r w:rsidR="00862E71">
          <w:rPr>
            <w:noProof/>
            <w:webHidden/>
          </w:rPr>
        </w:r>
        <w:r w:rsidR="00862E71">
          <w:rPr>
            <w:noProof/>
            <w:webHidden/>
          </w:rPr>
          <w:fldChar w:fldCharType="separate"/>
        </w:r>
        <w:r w:rsidR="00862E71">
          <w:rPr>
            <w:noProof/>
            <w:webHidden/>
          </w:rPr>
          <w:t>16</w:t>
        </w:r>
        <w:r w:rsidR="00862E71">
          <w:rPr>
            <w:noProof/>
            <w:webHidden/>
          </w:rPr>
          <w:fldChar w:fldCharType="end"/>
        </w:r>
      </w:hyperlink>
    </w:p>
    <w:p w14:paraId="1E6561F8" w14:textId="0B749EFE" w:rsidR="00862E71" w:rsidRDefault="00E75AFC" w:rsidP="00054CA2">
      <w:pPr>
        <w:pStyle w:val="TOC3"/>
        <w:rPr>
          <w:rFonts w:eastAsiaTheme="minorEastAsia" w:cstheme="minorBidi"/>
          <w:noProof/>
          <w:sz w:val="22"/>
          <w:szCs w:val="22"/>
          <w:lang w:val="en-AU" w:eastAsia="en-AU" w:bidi="ar-SA"/>
        </w:rPr>
      </w:pPr>
      <w:hyperlink w:anchor="_Toc122602216" w:history="1">
        <w:r w:rsidR="00862E71" w:rsidRPr="00EF3AAD">
          <w:rPr>
            <w:rStyle w:val="Hyperlink"/>
            <w:noProof/>
          </w:rPr>
          <w:t>4.1.1</w:t>
        </w:r>
        <w:r w:rsidR="00862E71">
          <w:rPr>
            <w:rFonts w:eastAsiaTheme="minorEastAsia" w:cstheme="minorBidi"/>
            <w:noProof/>
            <w:sz w:val="22"/>
            <w:szCs w:val="22"/>
            <w:lang w:val="en-AU" w:eastAsia="en-AU" w:bidi="ar-SA"/>
          </w:rPr>
          <w:tab/>
        </w:r>
        <w:r w:rsidR="00862E71" w:rsidRPr="00EF3AAD">
          <w:rPr>
            <w:rStyle w:val="Hyperlink"/>
            <w:noProof/>
          </w:rPr>
          <w:t>Special purpose vs general purpose foods</w:t>
        </w:r>
        <w:r w:rsidR="00862E71">
          <w:rPr>
            <w:noProof/>
            <w:webHidden/>
          </w:rPr>
          <w:tab/>
        </w:r>
        <w:r w:rsidR="00862E71">
          <w:rPr>
            <w:noProof/>
            <w:webHidden/>
          </w:rPr>
          <w:fldChar w:fldCharType="begin"/>
        </w:r>
        <w:r w:rsidR="00862E71">
          <w:rPr>
            <w:noProof/>
            <w:webHidden/>
          </w:rPr>
          <w:instrText xml:space="preserve"> PAGEREF _Toc122602216 \h </w:instrText>
        </w:r>
        <w:r w:rsidR="00862E71">
          <w:rPr>
            <w:noProof/>
            <w:webHidden/>
          </w:rPr>
        </w:r>
        <w:r w:rsidR="00862E71">
          <w:rPr>
            <w:noProof/>
            <w:webHidden/>
          </w:rPr>
          <w:fldChar w:fldCharType="separate"/>
        </w:r>
        <w:r w:rsidR="00862E71">
          <w:rPr>
            <w:noProof/>
            <w:webHidden/>
          </w:rPr>
          <w:t>16</w:t>
        </w:r>
        <w:r w:rsidR="00862E71">
          <w:rPr>
            <w:noProof/>
            <w:webHidden/>
          </w:rPr>
          <w:fldChar w:fldCharType="end"/>
        </w:r>
      </w:hyperlink>
    </w:p>
    <w:p w14:paraId="326C16C0" w14:textId="06A13291" w:rsidR="00862E71" w:rsidRDefault="00E75AFC">
      <w:pPr>
        <w:pStyle w:val="TOC2"/>
        <w:tabs>
          <w:tab w:val="left" w:pos="880"/>
          <w:tab w:val="right" w:leader="dot" w:pos="9060"/>
        </w:tabs>
        <w:rPr>
          <w:rFonts w:eastAsiaTheme="minorEastAsia" w:cstheme="minorBidi"/>
          <w:smallCaps w:val="0"/>
          <w:noProof/>
          <w:sz w:val="22"/>
          <w:szCs w:val="22"/>
          <w:lang w:val="en-AU" w:eastAsia="en-AU" w:bidi="ar-SA"/>
        </w:rPr>
      </w:pPr>
      <w:hyperlink w:anchor="_Toc122602217" w:history="1">
        <w:r w:rsidR="00862E71" w:rsidRPr="00EF3AAD">
          <w:rPr>
            <w:rStyle w:val="Hyperlink"/>
            <w:noProof/>
          </w:rPr>
          <w:t>4.2</w:t>
        </w:r>
        <w:r w:rsidR="00862E71">
          <w:rPr>
            <w:rFonts w:eastAsiaTheme="minorEastAsia" w:cstheme="minorBidi"/>
            <w:smallCaps w:val="0"/>
            <w:noProof/>
            <w:sz w:val="22"/>
            <w:szCs w:val="22"/>
            <w:lang w:val="en-AU" w:eastAsia="en-AU" w:bidi="ar-SA"/>
          </w:rPr>
          <w:tab/>
        </w:r>
        <w:r w:rsidR="00862E71" w:rsidRPr="00EF3AAD">
          <w:rPr>
            <w:rStyle w:val="Hyperlink"/>
            <w:noProof/>
          </w:rPr>
          <w:t>Definitions</w:t>
        </w:r>
        <w:r w:rsidR="00862E71">
          <w:rPr>
            <w:noProof/>
            <w:webHidden/>
          </w:rPr>
          <w:tab/>
        </w:r>
        <w:r w:rsidR="00862E71">
          <w:rPr>
            <w:noProof/>
            <w:webHidden/>
          </w:rPr>
          <w:fldChar w:fldCharType="begin"/>
        </w:r>
        <w:r w:rsidR="00862E71">
          <w:rPr>
            <w:noProof/>
            <w:webHidden/>
          </w:rPr>
          <w:instrText xml:space="preserve"> PAGEREF _Toc122602217 \h </w:instrText>
        </w:r>
        <w:r w:rsidR="00862E71">
          <w:rPr>
            <w:noProof/>
            <w:webHidden/>
          </w:rPr>
        </w:r>
        <w:r w:rsidR="00862E71">
          <w:rPr>
            <w:noProof/>
            <w:webHidden/>
          </w:rPr>
          <w:fldChar w:fldCharType="separate"/>
        </w:r>
        <w:r w:rsidR="00862E71">
          <w:rPr>
            <w:noProof/>
            <w:webHidden/>
          </w:rPr>
          <w:t>16</w:t>
        </w:r>
        <w:r w:rsidR="00862E71">
          <w:rPr>
            <w:noProof/>
            <w:webHidden/>
          </w:rPr>
          <w:fldChar w:fldCharType="end"/>
        </w:r>
      </w:hyperlink>
    </w:p>
    <w:p w14:paraId="77B18B4E" w14:textId="415B4069" w:rsidR="00862E71" w:rsidRDefault="00E75AFC" w:rsidP="00054CA2">
      <w:pPr>
        <w:pStyle w:val="TOC3"/>
        <w:rPr>
          <w:rFonts w:eastAsiaTheme="minorEastAsia" w:cstheme="minorBidi"/>
          <w:noProof/>
          <w:sz w:val="22"/>
          <w:szCs w:val="22"/>
          <w:lang w:val="en-AU" w:eastAsia="en-AU" w:bidi="ar-SA"/>
        </w:rPr>
      </w:pPr>
      <w:hyperlink w:anchor="_Toc122602218" w:history="1">
        <w:r w:rsidR="00862E71" w:rsidRPr="00EF3AAD">
          <w:rPr>
            <w:rStyle w:val="Hyperlink"/>
            <w:noProof/>
          </w:rPr>
          <w:t>4.2.1</w:t>
        </w:r>
        <w:r w:rsidR="00862E71">
          <w:rPr>
            <w:rFonts w:eastAsiaTheme="minorEastAsia" w:cstheme="minorBidi"/>
            <w:noProof/>
            <w:sz w:val="22"/>
            <w:szCs w:val="22"/>
            <w:lang w:val="en-AU" w:eastAsia="en-AU" w:bidi="ar-SA"/>
          </w:rPr>
          <w:tab/>
        </w:r>
        <w:r w:rsidR="00862E71" w:rsidRPr="00EF3AAD">
          <w:rPr>
            <w:rStyle w:val="Hyperlink"/>
            <w:noProof/>
          </w:rPr>
          <w:t>Defined population and purpose</w:t>
        </w:r>
        <w:r w:rsidR="00862E71">
          <w:rPr>
            <w:noProof/>
            <w:webHidden/>
          </w:rPr>
          <w:tab/>
        </w:r>
        <w:r w:rsidR="00862E71">
          <w:rPr>
            <w:noProof/>
            <w:webHidden/>
          </w:rPr>
          <w:fldChar w:fldCharType="begin"/>
        </w:r>
        <w:r w:rsidR="00862E71">
          <w:rPr>
            <w:noProof/>
            <w:webHidden/>
          </w:rPr>
          <w:instrText xml:space="preserve"> PAGEREF _Toc122602218 \h </w:instrText>
        </w:r>
        <w:r w:rsidR="00862E71">
          <w:rPr>
            <w:noProof/>
            <w:webHidden/>
          </w:rPr>
        </w:r>
        <w:r w:rsidR="00862E71">
          <w:rPr>
            <w:noProof/>
            <w:webHidden/>
          </w:rPr>
          <w:fldChar w:fldCharType="separate"/>
        </w:r>
        <w:r w:rsidR="00862E71">
          <w:rPr>
            <w:noProof/>
            <w:webHidden/>
          </w:rPr>
          <w:t>17</w:t>
        </w:r>
        <w:r w:rsidR="00862E71">
          <w:rPr>
            <w:noProof/>
            <w:webHidden/>
          </w:rPr>
          <w:fldChar w:fldCharType="end"/>
        </w:r>
      </w:hyperlink>
    </w:p>
    <w:p w14:paraId="713A1B15" w14:textId="6E5771E4" w:rsidR="00862E71" w:rsidRDefault="00E75AFC" w:rsidP="00054CA2">
      <w:pPr>
        <w:pStyle w:val="TOC3"/>
        <w:rPr>
          <w:rFonts w:eastAsiaTheme="minorEastAsia" w:cstheme="minorBidi"/>
          <w:noProof/>
          <w:sz w:val="22"/>
          <w:szCs w:val="22"/>
          <w:lang w:val="en-AU" w:eastAsia="en-AU" w:bidi="ar-SA"/>
        </w:rPr>
      </w:pPr>
      <w:hyperlink w:anchor="_Toc122602219" w:history="1">
        <w:r w:rsidR="00862E71" w:rsidRPr="00EF3AAD">
          <w:rPr>
            <w:rStyle w:val="Hyperlink"/>
            <w:noProof/>
          </w:rPr>
          <w:t>4.2.2</w:t>
        </w:r>
        <w:r w:rsidR="00862E71">
          <w:rPr>
            <w:rFonts w:eastAsiaTheme="minorEastAsia" w:cstheme="minorBidi"/>
            <w:noProof/>
            <w:sz w:val="22"/>
            <w:szCs w:val="22"/>
            <w:lang w:val="en-AU" w:eastAsia="en-AU" w:bidi="ar-SA"/>
          </w:rPr>
          <w:tab/>
        </w:r>
        <w:r w:rsidR="00862E71" w:rsidRPr="00EF3AAD">
          <w:rPr>
            <w:rStyle w:val="Hyperlink"/>
            <w:noProof/>
          </w:rPr>
          <w:t>Regarding the definition of a ‘one-day quantity’</w:t>
        </w:r>
        <w:r w:rsidR="00862E71">
          <w:rPr>
            <w:noProof/>
            <w:webHidden/>
          </w:rPr>
          <w:tab/>
        </w:r>
        <w:r w:rsidR="00862E71">
          <w:rPr>
            <w:noProof/>
            <w:webHidden/>
          </w:rPr>
          <w:fldChar w:fldCharType="begin"/>
        </w:r>
        <w:r w:rsidR="00862E71">
          <w:rPr>
            <w:noProof/>
            <w:webHidden/>
          </w:rPr>
          <w:instrText xml:space="preserve"> PAGEREF _Toc122602219 \h </w:instrText>
        </w:r>
        <w:r w:rsidR="00862E71">
          <w:rPr>
            <w:noProof/>
            <w:webHidden/>
          </w:rPr>
        </w:r>
        <w:r w:rsidR="00862E71">
          <w:rPr>
            <w:noProof/>
            <w:webHidden/>
          </w:rPr>
          <w:fldChar w:fldCharType="separate"/>
        </w:r>
        <w:r w:rsidR="00862E71">
          <w:rPr>
            <w:noProof/>
            <w:webHidden/>
          </w:rPr>
          <w:t>18</w:t>
        </w:r>
        <w:r w:rsidR="00862E71">
          <w:rPr>
            <w:noProof/>
            <w:webHidden/>
          </w:rPr>
          <w:fldChar w:fldCharType="end"/>
        </w:r>
      </w:hyperlink>
    </w:p>
    <w:p w14:paraId="5D2DD642" w14:textId="08B29D79" w:rsidR="00862E71" w:rsidRDefault="00E75AFC" w:rsidP="00054CA2">
      <w:pPr>
        <w:pStyle w:val="TOC3"/>
        <w:rPr>
          <w:rFonts w:eastAsiaTheme="minorEastAsia" w:cstheme="minorBidi"/>
          <w:noProof/>
          <w:sz w:val="22"/>
          <w:szCs w:val="22"/>
          <w:lang w:val="en-AU" w:eastAsia="en-AU" w:bidi="ar-SA"/>
        </w:rPr>
      </w:pPr>
      <w:hyperlink w:anchor="_Toc122602220" w:history="1">
        <w:r w:rsidR="00862E71" w:rsidRPr="00EF3AAD">
          <w:rPr>
            <w:rStyle w:val="Hyperlink"/>
            <w:noProof/>
          </w:rPr>
          <w:t>4.2.3</w:t>
        </w:r>
        <w:r w:rsidR="00862E71">
          <w:rPr>
            <w:rFonts w:eastAsiaTheme="minorEastAsia" w:cstheme="minorBidi"/>
            <w:noProof/>
            <w:sz w:val="22"/>
            <w:szCs w:val="22"/>
            <w:lang w:val="en-AU" w:eastAsia="en-AU" w:bidi="ar-SA"/>
          </w:rPr>
          <w:tab/>
        </w:r>
        <w:r w:rsidR="00862E71" w:rsidRPr="00EF3AAD">
          <w:rPr>
            <w:rStyle w:val="Hyperlink"/>
            <w:noProof/>
          </w:rPr>
          <w:t>Questions</w:t>
        </w:r>
        <w:r w:rsidR="00862E71">
          <w:rPr>
            <w:noProof/>
            <w:webHidden/>
          </w:rPr>
          <w:tab/>
        </w:r>
        <w:r w:rsidR="00862E71">
          <w:rPr>
            <w:noProof/>
            <w:webHidden/>
          </w:rPr>
          <w:fldChar w:fldCharType="begin"/>
        </w:r>
        <w:r w:rsidR="00862E71">
          <w:rPr>
            <w:noProof/>
            <w:webHidden/>
          </w:rPr>
          <w:instrText xml:space="preserve"> PAGEREF _Toc122602220 \h </w:instrText>
        </w:r>
        <w:r w:rsidR="00862E71">
          <w:rPr>
            <w:noProof/>
            <w:webHidden/>
          </w:rPr>
        </w:r>
        <w:r w:rsidR="00862E71">
          <w:rPr>
            <w:noProof/>
            <w:webHidden/>
          </w:rPr>
          <w:fldChar w:fldCharType="separate"/>
        </w:r>
        <w:r w:rsidR="00862E71">
          <w:rPr>
            <w:noProof/>
            <w:webHidden/>
          </w:rPr>
          <w:t>19</w:t>
        </w:r>
        <w:r w:rsidR="00862E71">
          <w:rPr>
            <w:noProof/>
            <w:webHidden/>
          </w:rPr>
          <w:fldChar w:fldCharType="end"/>
        </w:r>
      </w:hyperlink>
    </w:p>
    <w:p w14:paraId="428195E4" w14:textId="043D5001" w:rsidR="00862E71" w:rsidRDefault="00E75AFC">
      <w:pPr>
        <w:pStyle w:val="TOC2"/>
        <w:tabs>
          <w:tab w:val="left" w:pos="880"/>
          <w:tab w:val="right" w:leader="dot" w:pos="9060"/>
        </w:tabs>
        <w:rPr>
          <w:rFonts w:eastAsiaTheme="minorEastAsia" w:cstheme="minorBidi"/>
          <w:smallCaps w:val="0"/>
          <w:noProof/>
          <w:sz w:val="22"/>
          <w:szCs w:val="22"/>
          <w:lang w:val="en-AU" w:eastAsia="en-AU" w:bidi="ar-SA"/>
        </w:rPr>
      </w:pPr>
      <w:hyperlink w:anchor="_Toc122602221" w:history="1">
        <w:r w:rsidR="00862E71" w:rsidRPr="00EF3AAD">
          <w:rPr>
            <w:rStyle w:val="Hyperlink"/>
            <w:noProof/>
          </w:rPr>
          <w:t>4.3</w:t>
        </w:r>
        <w:r w:rsidR="00862E71">
          <w:rPr>
            <w:rFonts w:eastAsiaTheme="minorEastAsia" w:cstheme="minorBidi"/>
            <w:smallCaps w:val="0"/>
            <w:noProof/>
            <w:sz w:val="22"/>
            <w:szCs w:val="22"/>
            <w:lang w:val="en-AU" w:eastAsia="en-AU" w:bidi="ar-SA"/>
          </w:rPr>
          <w:tab/>
        </w:r>
        <w:r w:rsidR="00862E71" w:rsidRPr="00EF3AAD">
          <w:rPr>
            <w:rStyle w:val="Hyperlink"/>
            <w:noProof/>
          </w:rPr>
          <w:t>Current compositional permissions</w:t>
        </w:r>
        <w:r w:rsidR="00862E71">
          <w:rPr>
            <w:noProof/>
            <w:webHidden/>
          </w:rPr>
          <w:tab/>
        </w:r>
        <w:r w:rsidR="00862E71">
          <w:rPr>
            <w:noProof/>
            <w:webHidden/>
          </w:rPr>
          <w:fldChar w:fldCharType="begin"/>
        </w:r>
        <w:r w:rsidR="00862E71">
          <w:rPr>
            <w:noProof/>
            <w:webHidden/>
          </w:rPr>
          <w:instrText xml:space="preserve"> PAGEREF _Toc122602221 \h </w:instrText>
        </w:r>
        <w:r w:rsidR="00862E71">
          <w:rPr>
            <w:noProof/>
            <w:webHidden/>
          </w:rPr>
        </w:r>
        <w:r w:rsidR="00862E71">
          <w:rPr>
            <w:noProof/>
            <w:webHidden/>
          </w:rPr>
          <w:fldChar w:fldCharType="separate"/>
        </w:r>
        <w:r w:rsidR="00862E71">
          <w:rPr>
            <w:noProof/>
            <w:webHidden/>
          </w:rPr>
          <w:t>19</w:t>
        </w:r>
        <w:r w:rsidR="00862E71">
          <w:rPr>
            <w:noProof/>
            <w:webHidden/>
          </w:rPr>
          <w:fldChar w:fldCharType="end"/>
        </w:r>
      </w:hyperlink>
    </w:p>
    <w:p w14:paraId="00602599" w14:textId="7AA9DD04" w:rsidR="00862E71" w:rsidRDefault="00E75AFC" w:rsidP="00054CA2">
      <w:pPr>
        <w:pStyle w:val="TOC3"/>
        <w:rPr>
          <w:rFonts w:eastAsiaTheme="minorEastAsia" w:cstheme="minorBidi"/>
          <w:noProof/>
          <w:sz w:val="22"/>
          <w:szCs w:val="22"/>
          <w:lang w:val="en-AU" w:eastAsia="en-AU" w:bidi="ar-SA"/>
        </w:rPr>
      </w:pPr>
      <w:hyperlink w:anchor="_Toc122602222" w:history="1">
        <w:r w:rsidR="00862E71" w:rsidRPr="00EF3AAD">
          <w:rPr>
            <w:rStyle w:val="Hyperlink"/>
            <w:noProof/>
          </w:rPr>
          <w:t>4.3.1</w:t>
        </w:r>
        <w:r w:rsidR="00862E71">
          <w:rPr>
            <w:rFonts w:eastAsiaTheme="minorEastAsia" w:cstheme="minorBidi"/>
            <w:noProof/>
            <w:sz w:val="22"/>
            <w:szCs w:val="22"/>
            <w:lang w:val="en-AU" w:eastAsia="en-AU" w:bidi="ar-SA"/>
          </w:rPr>
          <w:tab/>
        </w:r>
        <w:r w:rsidR="00862E71" w:rsidRPr="00EF3AAD">
          <w:rPr>
            <w:rStyle w:val="Hyperlink"/>
            <w:noProof/>
          </w:rPr>
          <w:t>Permitted forms</w:t>
        </w:r>
        <w:r w:rsidR="00862E71">
          <w:rPr>
            <w:noProof/>
            <w:webHidden/>
          </w:rPr>
          <w:tab/>
        </w:r>
        <w:r w:rsidR="00862E71">
          <w:rPr>
            <w:noProof/>
            <w:webHidden/>
          </w:rPr>
          <w:fldChar w:fldCharType="begin"/>
        </w:r>
        <w:r w:rsidR="00862E71">
          <w:rPr>
            <w:noProof/>
            <w:webHidden/>
          </w:rPr>
          <w:instrText xml:space="preserve"> PAGEREF _Toc122602222 \h </w:instrText>
        </w:r>
        <w:r w:rsidR="00862E71">
          <w:rPr>
            <w:noProof/>
            <w:webHidden/>
          </w:rPr>
        </w:r>
        <w:r w:rsidR="00862E71">
          <w:rPr>
            <w:noProof/>
            <w:webHidden/>
          </w:rPr>
          <w:fldChar w:fldCharType="separate"/>
        </w:r>
        <w:r w:rsidR="00862E71">
          <w:rPr>
            <w:noProof/>
            <w:webHidden/>
          </w:rPr>
          <w:t>20</w:t>
        </w:r>
        <w:r w:rsidR="00862E71">
          <w:rPr>
            <w:noProof/>
            <w:webHidden/>
          </w:rPr>
          <w:fldChar w:fldCharType="end"/>
        </w:r>
      </w:hyperlink>
    </w:p>
    <w:p w14:paraId="038F02ED" w14:textId="687343E2" w:rsidR="00862E71" w:rsidRDefault="00E75AFC" w:rsidP="00054CA2">
      <w:pPr>
        <w:pStyle w:val="TOC3"/>
        <w:rPr>
          <w:rFonts w:eastAsiaTheme="minorEastAsia" w:cstheme="minorBidi"/>
          <w:noProof/>
          <w:sz w:val="22"/>
          <w:szCs w:val="22"/>
          <w:lang w:val="en-AU" w:eastAsia="en-AU" w:bidi="ar-SA"/>
        </w:rPr>
      </w:pPr>
      <w:hyperlink w:anchor="_Toc122602223" w:history="1">
        <w:r w:rsidR="00862E71" w:rsidRPr="00EF3AAD">
          <w:rPr>
            <w:rStyle w:val="Hyperlink"/>
            <w:noProof/>
          </w:rPr>
          <w:t>4.3.2</w:t>
        </w:r>
        <w:r w:rsidR="00862E71">
          <w:rPr>
            <w:rFonts w:eastAsiaTheme="minorEastAsia" w:cstheme="minorBidi"/>
            <w:noProof/>
            <w:sz w:val="22"/>
            <w:szCs w:val="22"/>
            <w:lang w:val="en-AU" w:eastAsia="en-AU" w:bidi="ar-SA"/>
          </w:rPr>
          <w:tab/>
        </w:r>
        <w:r w:rsidR="00862E71" w:rsidRPr="00EF3AAD">
          <w:rPr>
            <w:rStyle w:val="Hyperlink"/>
            <w:noProof/>
          </w:rPr>
          <w:t xml:space="preserve">Access and availability for </w:t>
        </w:r>
        <w:r w:rsidR="00B60934">
          <w:rPr>
            <w:rStyle w:val="Hyperlink"/>
            <w:noProof/>
          </w:rPr>
          <w:t>sports foods</w:t>
        </w:r>
        <w:r w:rsidR="00862E71">
          <w:rPr>
            <w:noProof/>
            <w:webHidden/>
          </w:rPr>
          <w:tab/>
        </w:r>
        <w:r w:rsidR="00862E71">
          <w:rPr>
            <w:noProof/>
            <w:webHidden/>
          </w:rPr>
          <w:fldChar w:fldCharType="begin"/>
        </w:r>
        <w:r w:rsidR="00862E71">
          <w:rPr>
            <w:noProof/>
            <w:webHidden/>
          </w:rPr>
          <w:instrText xml:space="preserve"> PAGEREF _Toc122602223 \h </w:instrText>
        </w:r>
        <w:r w:rsidR="00862E71">
          <w:rPr>
            <w:noProof/>
            <w:webHidden/>
          </w:rPr>
        </w:r>
        <w:r w:rsidR="00862E71">
          <w:rPr>
            <w:noProof/>
            <w:webHidden/>
          </w:rPr>
          <w:fldChar w:fldCharType="separate"/>
        </w:r>
        <w:r w:rsidR="00862E71">
          <w:rPr>
            <w:noProof/>
            <w:webHidden/>
          </w:rPr>
          <w:t>20</w:t>
        </w:r>
        <w:r w:rsidR="00862E71">
          <w:rPr>
            <w:noProof/>
            <w:webHidden/>
          </w:rPr>
          <w:fldChar w:fldCharType="end"/>
        </w:r>
      </w:hyperlink>
    </w:p>
    <w:p w14:paraId="206FF540" w14:textId="689B2E30" w:rsidR="00862E71" w:rsidRDefault="00E75AFC" w:rsidP="00054CA2">
      <w:pPr>
        <w:pStyle w:val="TOC3"/>
        <w:rPr>
          <w:rFonts w:eastAsiaTheme="minorEastAsia" w:cstheme="minorBidi"/>
          <w:noProof/>
          <w:sz w:val="22"/>
          <w:szCs w:val="22"/>
          <w:lang w:val="en-AU" w:eastAsia="en-AU" w:bidi="ar-SA"/>
        </w:rPr>
      </w:pPr>
      <w:hyperlink w:anchor="_Toc122602224" w:history="1">
        <w:r w:rsidR="00862E71" w:rsidRPr="00EF3AAD">
          <w:rPr>
            <w:rStyle w:val="Hyperlink"/>
            <w:noProof/>
          </w:rPr>
          <w:t>4.3.3</w:t>
        </w:r>
        <w:r w:rsidR="00862E71">
          <w:rPr>
            <w:rFonts w:eastAsiaTheme="minorEastAsia" w:cstheme="minorBidi"/>
            <w:noProof/>
            <w:sz w:val="22"/>
            <w:szCs w:val="22"/>
            <w:lang w:val="en-AU" w:eastAsia="en-AU" w:bidi="ar-SA"/>
          </w:rPr>
          <w:tab/>
        </w:r>
        <w:r w:rsidR="00862E71" w:rsidRPr="00EF3AAD">
          <w:rPr>
            <w:rStyle w:val="Hyperlink"/>
            <w:noProof/>
          </w:rPr>
          <w:t>Questions</w:t>
        </w:r>
        <w:r w:rsidR="00862E71">
          <w:rPr>
            <w:noProof/>
            <w:webHidden/>
          </w:rPr>
          <w:tab/>
        </w:r>
        <w:r w:rsidR="00862E71">
          <w:rPr>
            <w:noProof/>
            <w:webHidden/>
          </w:rPr>
          <w:fldChar w:fldCharType="begin"/>
        </w:r>
        <w:r w:rsidR="00862E71">
          <w:rPr>
            <w:noProof/>
            <w:webHidden/>
          </w:rPr>
          <w:instrText xml:space="preserve"> PAGEREF _Toc122602224 \h </w:instrText>
        </w:r>
        <w:r w:rsidR="00862E71">
          <w:rPr>
            <w:noProof/>
            <w:webHidden/>
          </w:rPr>
        </w:r>
        <w:r w:rsidR="00862E71">
          <w:rPr>
            <w:noProof/>
            <w:webHidden/>
          </w:rPr>
          <w:fldChar w:fldCharType="separate"/>
        </w:r>
        <w:r w:rsidR="00862E71">
          <w:rPr>
            <w:noProof/>
            <w:webHidden/>
          </w:rPr>
          <w:t>20</w:t>
        </w:r>
        <w:r w:rsidR="00862E71">
          <w:rPr>
            <w:noProof/>
            <w:webHidden/>
          </w:rPr>
          <w:fldChar w:fldCharType="end"/>
        </w:r>
      </w:hyperlink>
    </w:p>
    <w:p w14:paraId="02204E1D" w14:textId="5F86BF1A" w:rsidR="00862E71" w:rsidRDefault="00E75AFC">
      <w:pPr>
        <w:pStyle w:val="TOC1"/>
        <w:tabs>
          <w:tab w:val="left" w:pos="440"/>
        </w:tabs>
        <w:rPr>
          <w:rFonts w:eastAsiaTheme="minorEastAsia" w:cstheme="minorBidi"/>
          <w:b w:val="0"/>
          <w:bCs w:val="0"/>
          <w:caps w:val="0"/>
          <w:noProof/>
          <w:sz w:val="22"/>
          <w:szCs w:val="22"/>
          <w:lang w:val="en-AU" w:eastAsia="en-AU" w:bidi="ar-SA"/>
        </w:rPr>
      </w:pPr>
      <w:hyperlink w:anchor="_Toc122602225" w:history="1">
        <w:r w:rsidR="00862E71" w:rsidRPr="00EF3AAD">
          <w:rPr>
            <w:rStyle w:val="Hyperlink"/>
            <w:noProof/>
          </w:rPr>
          <w:t>5</w:t>
        </w:r>
        <w:r w:rsidR="00862E71">
          <w:rPr>
            <w:rFonts w:eastAsiaTheme="minorEastAsia" w:cstheme="minorBidi"/>
            <w:b w:val="0"/>
            <w:bCs w:val="0"/>
            <w:caps w:val="0"/>
            <w:noProof/>
            <w:sz w:val="22"/>
            <w:szCs w:val="22"/>
            <w:lang w:val="en-AU" w:eastAsia="en-AU" w:bidi="ar-SA"/>
          </w:rPr>
          <w:tab/>
        </w:r>
        <w:r w:rsidR="00862E71" w:rsidRPr="00EF3AAD">
          <w:rPr>
            <w:rStyle w:val="Hyperlink"/>
            <w:noProof/>
          </w:rPr>
          <w:t>Electrolyte drinks</w:t>
        </w:r>
        <w:r w:rsidR="00862E71">
          <w:rPr>
            <w:noProof/>
            <w:webHidden/>
          </w:rPr>
          <w:tab/>
        </w:r>
        <w:r w:rsidR="00862E71">
          <w:rPr>
            <w:noProof/>
            <w:webHidden/>
          </w:rPr>
          <w:fldChar w:fldCharType="begin"/>
        </w:r>
        <w:r w:rsidR="00862E71">
          <w:rPr>
            <w:noProof/>
            <w:webHidden/>
          </w:rPr>
          <w:instrText xml:space="preserve"> PAGEREF _Toc122602225 \h </w:instrText>
        </w:r>
        <w:r w:rsidR="00862E71">
          <w:rPr>
            <w:noProof/>
            <w:webHidden/>
          </w:rPr>
        </w:r>
        <w:r w:rsidR="00862E71">
          <w:rPr>
            <w:noProof/>
            <w:webHidden/>
          </w:rPr>
          <w:fldChar w:fldCharType="separate"/>
        </w:r>
        <w:r w:rsidR="00862E71">
          <w:rPr>
            <w:noProof/>
            <w:webHidden/>
          </w:rPr>
          <w:t>21</w:t>
        </w:r>
        <w:r w:rsidR="00862E71">
          <w:rPr>
            <w:noProof/>
            <w:webHidden/>
          </w:rPr>
          <w:fldChar w:fldCharType="end"/>
        </w:r>
      </w:hyperlink>
    </w:p>
    <w:p w14:paraId="2C616220" w14:textId="69D49F14" w:rsidR="00862E71" w:rsidRDefault="00E75AFC">
      <w:pPr>
        <w:pStyle w:val="TOC2"/>
        <w:tabs>
          <w:tab w:val="left" w:pos="880"/>
          <w:tab w:val="right" w:leader="dot" w:pos="9060"/>
        </w:tabs>
        <w:rPr>
          <w:rFonts w:eastAsiaTheme="minorEastAsia" w:cstheme="minorBidi"/>
          <w:smallCaps w:val="0"/>
          <w:noProof/>
          <w:sz w:val="22"/>
          <w:szCs w:val="22"/>
          <w:lang w:val="en-AU" w:eastAsia="en-AU" w:bidi="ar-SA"/>
        </w:rPr>
      </w:pPr>
      <w:hyperlink w:anchor="_Toc122602226" w:history="1">
        <w:r w:rsidR="00862E71" w:rsidRPr="00EF3AAD">
          <w:rPr>
            <w:rStyle w:val="Hyperlink"/>
            <w:noProof/>
          </w:rPr>
          <w:t>5.1</w:t>
        </w:r>
        <w:r w:rsidR="00862E71">
          <w:rPr>
            <w:rFonts w:eastAsiaTheme="minorEastAsia" w:cstheme="minorBidi"/>
            <w:smallCaps w:val="0"/>
            <w:noProof/>
            <w:sz w:val="22"/>
            <w:szCs w:val="22"/>
            <w:lang w:val="en-AU" w:eastAsia="en-AU" w:bidi="ar-SA"/>
          </w:rPr>
          <w:tab/>
        </w:r>
        <w:r w:rsidR="00862E71" w:rsidRPr="00EF3AAD">
          <w:rPr>
            <w:rStyle w:val="Hyperlink"/>
            <w:noProof/>
          </w:rPr>
          <w:t>Regulation of electrolyte drinks</w:t>
        </w:r>
        <w:r w:rsidR="00862E71">
          <w:rPr>
            <w:noProof/>
            <w:webHidden/>
          </w:rPr>
          <w:tab/>
        </w:r>
        <w:r w:rsidR="00862E71">
          <w:rPr>
            <w:noProof/>
            <w:webHidden/>
          </w:rPr>
          <w:fldChar w:fldCharType="begin"/>
        </w:r>
        <w:r w:rsidR="00862E71">
          <w:rPr>
            <w:noProof/>
            <w:webHidden/>
          </w:rPr>
          <w:instrText xml:space="preserve"> PAGEREF _Toc122602226 \h </w:instrText>
        </w:r>
        <w:r w:rsidR="00862E71">
          <w:rPr>
            <w:noProof/>
            <w:webHidden/>
          </w:rPr>
        </w:r>
        <w:r w:rsidR="00862E71">
          <w:rPr>
            <w:noProof/>
            <w:webHidden/>
          </w:rPr>
          <w:fldChar w:fldCharType="separate"/>
        </w:r>
        <w:r w:rsidR="00862E71">
          <w:rPr>
            <w:noProof/>
            <w:webHidden/>
          </w:rPr>
          <w:t>21</w:t>
        </w:r>
        <w:r w:rsidR="00862E71">
          <w:rPr>
            <w:noProof/>
            <w:webHidden/>
          </w:rPr>
          <w:fldChar w:fldCharType="end"/>
        </w:r>
      </w:hyperlink>
    </w:p>
    <w:p w14:paraId="2EFE2E92" w14:textId="6D2CAB14" w:rsidR="00862E71" w:rsidRDefault="00E75AFC">
      <w:pPr>
        <w:pStyle w:val="TOC2"/>
        <w:tabs>
          <w:tab w:val="left" w:pos="880"/>
          <w:tab w:val="right" w:leader="dot" w:pos="9060"/>
        </w:tabs>
        <w:rPr>
          <w:rFonts w:eastAsiaTheme="minorEastAsia" w:cstheme="minorBidi"/>
          <w:smallCaps w:val="0"/>
          <w:noProof/>
          <w:sz w:val="22"/>
          <w:szCs w:val="22"/>
          <w:lang w:val="en-AU" w:eastAsia="en-AU" w:bidi="ar-SA"/>
        </w:rPr>
      </w:pPr>
      <w:hyperlink w:anchor="_Toc122602227" w:history="1">
        <w:r w:rsidR="00862E71" w:rsidRPr="00EF3AAD">
          <w:rPr>
            <w:rStyle w:val="Hyperlink"/>
            <w:noProof/>
          </w:rPr>
          <w:t>5.2</w:t>
        </w:r>
        <w:r w:rsidR="00862E71">
          <w:rPr>
            <w:rFonts w:eastAsiaTheme="minorEastAsia" w:cstheme="minorBidi"/>
            <w:smallCaps w:val="0"/>
            <w:noProof/>
            <w:sz w:val="22"/>
            <w:szCs w:val="22"/>
            <w:lang w:val="en-AU" w:eastAsia="en-AU" w:bidi="ar-SA"/>
          </w:rPr>
          <w:tab/>
        </w:r>
        <w:r w:rsidR="00862E71" w:rsidRPr="00EF3AAD">
          <w:rPr>
            <w:rStyle w:val="Hyperlink"/>
            <w:noProof/>
          </w:rPr>
          <w:t>Consideration of move from Standard 2.6.2 to 2.9.4</w:t>
        </w:r>
        <w:r w:rsidR="00862E71">
          <w:rPr>
            <w:noProof/>
            <w:webHidden/>
          </w:rPr>
          <w:tab/>
        </w:r>
        <w:r w:rsidR="00862E71">
          <w:rPr>
            <w:noProof/>
            <w:webHidden/>
          </w:rPr>
          <w:fldChar w:fldCharType="begin"/>
        </w:r>
        <w:r w:rsidR="00862E71">
          <w:rPr>
            <w:noProof/>
            <w:webHidden/>
          </w:rPr>
          <w:instrText xml:space="preserve"> PAGEREF _Toc122602227 \h </w:instrText>
        </w:r>
        <w:r w:rsidR="00862E71">
          <w:rPr>
            <w:noProof/>
            <w:webHidden/>
          </w:rPr>
        </w:r>
        <w:r w:rsidR="00862E71">
          <w:rPr>
            <w:noProof/>
            <w:webHidden/>
          </w:rPr>
          <w:fldChar w:fldCharType="separate"/>
        </w:r>
        <w:r w:rsidR="00862E71">
          <w:rPr>
            <w:noProof/>
            <w:webHidden/>
          </w:rPr>
          <w:t>21</w:t>
        </w:r>
        <w:r w:rsidR="00862E71">
          <w:rPr>
            <w:noProof/>
            <w:webHidden/>
          </w:rPr>
          <w:fldChar w:fldCharType="end"/>
        </w:r>
      </w:hyperlink>
    </w:p>
    <w:p w14:paraId="684D6E11" w14:textId="41C97D96" w:rsidR="00862E71" w:rsidRDefault="00E75AFC">
      <w:pPr>
        <w:pStyle w:val="TOC2"/>
        <w:tabs>
          <w:tab w:val="left" w:pos="880"/>
          <w:tab w:val="right" w:leader="dot" w:pos="9060"/>
        </w:tabs>
        <w:rPr>
          <w:rFonts w:eastAsiaTheme="minorEastAsia" w:cstheme="minorBidi"/>
          <w:smallCaps w:val="0"/>
          <w:noProof/>
          <w:sz w:val="22"/>
          <w:szCs w:val="22"/>
          <w:lang w:val="en-AU" w:eastAsia="en-AU" w:bidi="ar-SA"/>
        </w:rPr>
      </w:pPr>
      <w:hyperlink w:anchor="_Toc122602228" w:history="1">
        <w:r w:rsidR="00862E71" w:rsidRPr="00EF3AAD">
          <w:rPr>
            <w:rStyle w:val="Hyperlink"/>
            <w:noProof/>
          </w:rPr>
          <w:t>5.3</w:t>
        </w:r>
        <w:r w:rsidR="00862E71">
          <w:rPr>
            <w:rFonts w:eastAsiaTheme="minorEastAsia" w:cstheme="minorBidi"/>
            <w:smallCaps w:val="0"/>
            <w:noProof/>
            <w:sz w:val="22"/>
            <w:szCs w:val="22"/>
            <w:lang w:val="en-AU" w:eastAsia="en-AU" w:bidi="ar-SA"/>
          </w:rPr>
          <w:tab/>
        </w:r>
        <w:r w:rsidR="00862E71" w:rsidRPr="00EF3AAD">
          <w:rPr>
            <w:rStyle w:val="Hyperlink"/>
            <w:noProof/>
          </w:rPr>
          <w:t>Questions</w:t>
        </w:r>
        <w:r w:rsidR="00862E71">
          <w:rPr>
            <w:noProof/>
            <w:webHidden/>
          </w:rPr>
          <w:tab/>
        </w:r>
        <w:r w:rsidR="00862E71">
          <w:rPr>
            <w:noProof/>
            <w:webHidden/>
          </w:rPr>
          <w:fldChar w:fldCharType="begin"/>
        </w:r>
        <w:r w:rsidR="00862E71">
          <w:rPr>
            <w:noProof/>
            <w:webHidden/>
          </w:rPr>
          <w:instrText xml:space="preserve"> PAGEREF _Toc122602228 \h </w:instrText>
        </w:r>
        <w:r w:rsidR="00862E71">
          <w:rPr>
            <w:noProof/>
            <w:webHidden/>
          </w:rPr>
        </w:r>
        <w:r w:rsidR="00862E71">
          <w:rPr>
            <w:noProof/>
            <w:webHidden/>
          </w:rPr>
          <w:fldChar w:fldCharType="separate"/>
        </w:r>
        <w:r w:rsidR="00862E71">
          <w:rPr>
            <w:noProof/>
            <w:webHidden/>
          </w:rPr>
          <w:t>22</w:t>
        </w:r>
        <w:r w:rsidR="00862E71">
          <w:rPr>
            <w:noProof/>
            <w:webHidden/>
          </w:rPr>
          <w:fldChar w:fldCharType="end"/>
        </w:r>
      </w:hyperlink>
    </w:p>
    <w:p w14:paraId="7D846E42" w14:textId="73DC99F3" w:rsidR="00862E71" w:rsidRDefault="00E75AFC">
      <w:pPr>
        <w:pStyle w:val="TOC1"/>
        <w:tabs>
          <w:tab w:val="left" w:pos="440"/>
        </w:tabs>
        <w:rPr>
          <w:rFonts w:eastAsiaTheme="minorEastAsia" w:cstheme="minorBidi"/>
          <w:b w:val="0"/>
          <w:bCs w:val="0"/>
          <w:caps w:val="0"/>
          <w:noProof/>
          <w:sz w:val="22"/>
          <w:szCs w:val="22"/>
          <w:lang w:val="en-AU" w:eastAsia="en-AU" w:bidi="ar-SA"/>
        </w:rPr>
      </w:pPr>
      <w:hyperlink w:anchor="_Toc122602229" w:history="1">
        <w:r w:rsidR="00862E71" w:rsidRPr="00EF3AAD">
          <w:rPr>
            <w:rStyle w:val="Hyperlink"/>
            <w:noProof/>
          </w:rPr>
          <w:t>6</w:t>
        </w:r>
        <w:r w:rsidR="00862E71">
          <w:rPr>
            <w:rFonts w:eastAsiaTheme="minorEastAsia" w:cstheme="minorBidi"/>
            <w:b w:val="0"/>
            <w:bCs w:val="0"/>
            <w:caps w:val="0"/>
            <w:noProof/>
            <w:sz w:val="22"/>
            <w:szCs w:val="22"/>
            <w:lang w:val="en-AU" w:eastAsia="en-AU" w:bidi="ar-SA"/>
          </w:rPr>
          <w:tab/>
        </w:r>
        <w:r w:rsidR="00862E71" w:rsidRPr="00EF3AAD">
          <w:rPr>
            <w:rStyle w:val="Hyperlink"/>
            <w:noProof/>
          </w:rPr>
          <w:t>Labelling</w:t>
        </w:r>
        <w:r w:rsidR="00862E71">
          <w:rPr>
            <w:noProof/>
            <w:webHidden/>
          </w:rPr>
          <w:tab/>
        </w:r>
        <w:r w:rsidR="00862E71">
          <w:rPr>
            <w:noProof/>
            <w:webHidden/>
          </w:rPr>
          <w:fldChar w:fldCharType="begin"/>
        </w:r>
        <w:r w:rsidR="00862E71">
          <w:rPr>
            <w:noProof/>
            <w:webHidden/>
          </w:rPr>
          <w:instrText xml:space="preserve"> PAGEREF _Toc122602229 \h </w:instrText>
        </w:r>
        <w:r w:rsidR="00862E71">
          <w:rPr>
            <w:noProof/>
            <w:webHidden/>
          </w:rPr>
        </w:r>
        <w:r w:rsidR="00862E71">
          <w:rPr>
            <w:noProof/>
            <w:webHidden/>
          </w:rPr>
          <w:fldChar w:fldCharType="separate"/>
        </w:r>
        <w:r w:rsidR="00862E71">
          <w:rPr>
            <w:noProof/>
            <w:webHidden/>
          </w:rPr>
          <w:t>22</w:t>
        </w:r>
        <w:r w:rsidR="00862E71">
          <w:rPr>
            <w:noProof/>
            <w:webHidden/>
          </w:rPr>
          <w:fldChar w:fldCharType="end"/>
        </w:r>
      </w:hyperlink>
    </w:p>
    <w:p w14:paraId="5C86C7AC" w14:textId="377E5CF4" w:rsidR="00862E71" w:rsidRDefault="00E75AFC">
      <w:pPr>
        <w:pStyle w:val="TOC2"/>
        <w:tabs>
          <w:tab w:val="left" w:pos="880"/>
          <w:tab w:val="right" w:leader="dot" w:pos="9060"/>
        </w:tabs>
        <w:rPr>
          <w:rFonts w:eastAsiaTheme="minorEastAsia" w:cstheme="minorBidi"/>
          <w:smallCaps w:val="0"/>
          <w:noProof/>
          <w:sz w:val="22"/>
          <w:szCs w:val="22"/>
          <w:lang w:val="en-AU" w:eastAsia="en-AU" w:bidi="ar-SA"/>
        </w:rPr>
      </w:pPr>
      <w:hyperlink w:anchor="_Toc122602230" w:history="1">
        <w:r w:rsidR="00862E71" w:rsidRPr="00EF3AAD">
          <w:rPr>
            <w:rStyle w:val="Hyperlink"/>
            <w:noProof/>
          </w:rPr>
          <w:t>6.1</w:t>
        </w:r>
        <w:r w:rsidR="00862E71">
          <w:rPr>
            <w:rFonts w:eastAsiaTheme="minorEastAsia" w:cstheme="minorBidi"/>
            <w:smallCaps w:val="0"/>
            <w:noProof/>
            <w:sz w:val="22"/>
            <w:szCs w:val="22"/>
            <w:lang w:val="en-AU" w:eastAsia="en-AU" w:bidi="ar-SA"/>
          </w:rPr>
          <w:tab/>
        </w:r>
        <w:r w:rsidR="00862E71" w:rsidRPr="00EF3AAD">
          <w:rPr>
            <w:rStyle w:val="Hyperlink"/>
            <w:noProof/>
          </w:rPr>
          <w:t>Current regulations</w:t>
        </w:r>
        <w:r w:rsidR="00862E71">
          <w:rPr>
            <w:noProof/>
            <w:webHidden/>
          </w:rPr>
          <w:tab/>
        </w:r>
        <w:r w:rsidR="00862E71">
          <w:rPr>
            <w:noProof/>
            <w:webHidden/>
          </w:rPr>
          <w:fldChar w:fldCharType="begin"/>
        </w:r>
        <w:r w:rsidR="00862E71">
          <w:rPr>
            <w:noProof/>
            <w:webHidden/>
          </w:rPr>
          <w:instrText xml:space="preserve"> PAGEREF _Toc122602230 \h </w:instrText>
        </w:r>
        <w:r w:rsidR="00862E71">
          <w:rPr>
            <w:noProof/>
            <w:webHidden/>
          </w:rPr>
        </w:r>
        <w:r w:rsidR="00862E71">
          <w:rPr>
            <w:noProof/>
            <w:webHidden/>
          </w:rPr>
          <w:fldChar w:fldCharType="separate"/>
        </w:r>
        <w:r w:rsidR="00862E71">
          <w:rPr>
            <w:noProof/>
            <w:webHidden/>
          </w:rPr>
          <w:t>22</w:t>
        </w:r>
        <w:r w:rsidR="00862E71">
          <w:rPr>
            <w:noProof/>
            <w:webHidden/>
          </w:rPr>
          <w:fldChar w:fldCharType="end"/>
        </w:r>
      </w:hyperlink>
    </w:p>
    <w:p w14:paraId="39A6E854" w14:textId="36A4DDA5" w:rsidR="00862E71" w:rsidRDefault="00E75AFC" w:rsidP="00054CA2">
      <w:pPr>
        <w:pStyle w:val="TOC3"/>
        <w:rPr>
          <w:rFonts w:eastAsiaTheme="minorEastAsia" w:cstheme="minorBidi"/>
          <w:noProof/>
          <w:sz w:val="22"/>
          <w:szCs w:val="22"/>
          <w:lang w:val="en-AU" w:eastAsia="en-AU" w:bidi="ar-SA"/>
        </w:rPr>
      </w:pPr>
      <w:hyperlink w:anchor="_Toc122602231" w:history="1">
        <w:r w:rsidR="00862E71" w:rsidRPr="00EF3AAD">
          <w:rPr>
            <w:rStyle w:val="Hyperlink"/>
            <w:noProof/>
          </w:rPr>
          <w:t>6.1.1</w:t>
        </w:r>
        <w:r w:rsidR="00862E71">
          <w:rPr>
            <w:rFonts w:eastAsiaTheme="minorEastAsia" w:cstheme="minorBidi"/>
            <w:noProof/>
            <w:sz w:val="22"/>
            <w:szCs w:val="22"/>
            <w:lang w:val="en-AU" w:eastAsia="en-AU" w:bidi="ar-SA"/>
          </w:rPr>
          <w:tab/>
        </w:r>
        <w:r w:rsidR="00862E71" w:rsidRPr="00EF3AAD">
          <w:rPr>
            <w:rStyle w:val="Hyperlink"/>
            <w:noProof/>
          </w:rPr>
          <w:t>Prescribed name</w:t>
        </w:r>
        <w:r w:rsidR="00862E71">
          <w:rPr>
            <w:noProof/>
            <w:webHidden/>
          </w:rPr>
          <w:tab/>
        </w:r>
        <w:r w:rsidR="00862E71">
          <w:rPr>
            <w:noProof/>
            <w:webHidden/>
          </w:rPr>
          <w:fldChar w:fldCharType="begin"/>
        </w:r>
        <w:r w:rsidR="00862E71">
          <w:rPr>
            <w:noProof/>
            <w:webHidden/>
          </w:rPr>
          <w:instrText xml:space="preserve"> PAGEREF _Toc122602231 \h </w:instrText>
        </w:r>
        <w:r w:rsidR="00862E71">
          <w:rPr>
            <w:noProof/>
            <w:webHidden/>
          </w:rPr>
        </w:r>
        <w:r w:rsidR="00862E71">
          <w:rPr>
            <w:noProof/>
            <w:webHidden/>
          </w:rPr>
          <w:fldChar w:fldCharType="separate"/>
        </w:r>
        <w:r w:rsidR="00862E71">
          <w:rPr>
            <w:noProof/>
            <w:webHidden/>
          </w:rPr>
          <w:t>22</w:t>
        </w:r>
        <w:r w:rsidR="00862E71">
          <w:rPr>
            <w:noProof/>
            <w:webHidden/>
          </w:rPr>
          <w:fldChar w:fldCharType="end"/>
        </w:r>
      </w:hyperlink>
    </w:p>
    <w:p w14:paraId="532BA5FF" w14:textId="0DE136CB" w:rsidR="00862E71" w:rsidRDefault="00E75AFC" w:rsidP="00054CA2">
      <w:pPr>
        <w:pStyle w:val="TOC3"/>
        <w:rPr>
          <w:rFonts w:eastAsiaTheme="minorEastAsia" w:cstheme="minorBidi"/>
          <w:noProof/>
          <w:sz w:val="22"/>
          <w:szCs w:val="22"/>
          <w:lang w:val="en-AU" w:eastAsia="en-AU" w:bidi="ar-SA"/>
        </w:rPr>
      </w:pPr>
      <w:hyperlink w:anchor="_Toc122602232" w:history="1">
        <w:r w:rsidR="00862E71" w:rsidRPr="00EF3AAD">
          <w:rPr>
            <w:rStyle w:val="Hyperlink"/>
            <w:noProof/>
          </w:rPr>
          <w:t>6.1.2</w:t>
        </w:r>
        <w:r w:rsidR="00862E71">
          <w:rPr>
            <w:rFonts w:eastAsiaTheme="minorEastAsia" w:cstheme="minorBidi"/>
            <w:noProof/>
            <w:sz w:val="22"/>
            <w:szCs w:val="22"/>
            <w:lang w:val="en-AU" w:eastAsia="en-AU" w:bidi="ar-SA"/>
          </w:rPr>
          <w:tab/>
        </w:r>
        <w:r w:rsidR="00862E71" w:rsidRPr="00EF3AAD">
          <w:rPr>
            <w:rStyle w:val="Hyperlink"/>
            <w:noProof/>
          </w:rPr>
          <w:t>Directions for use</w:t>
        </w:r>
        <w:r w:rsidR="00862E71">
          <w:rPr>
            <w:noProof/>
            <w:webHidden/>
          </w:rPr>
          <w:tab/>
        </w:r>
        <w:r w:rsidR="00862E71">
          <w:rPr>
            <w:noProof/>
            <w:webHidden/>
          </w:rPr>
          <w:fldChar w:fldCharType="begin"/>
        </w:r>
        <w:r w:rsidR="00862E71">
          <w:rPr>
            <w:noProof/>
            <w:webHidden/>
          </w:rPr>
          <w:instrText xml:space="preserve"> PAGEREF _Toc122602232 \h </w:instrText>
        </w:r>
        <w:r w:rsidR="00862E71">
          <w:rPr>
            <w:noProof/>
            <w:webHidden/>
          </w:rPr>
        </w:r>
        <w:r w:rsidR="00862E71">
          <w:rPr>
            <w:noProof/>
            <w:webHidden/>
          </w:rPr>
          <w:fldChar w:fldCharType="separate"/>
        </w:r>
        <w:r w:rsidR="00862E71">
          <w:rPr>
            <w:noProof/>
            <w:webHidden/>
          </w:rPr>
          <w:t>22</w:t>
        </w:r>
        <w:r w:rsidR="00862E71">
          <w:rPr>
            <w:noProof/>
            <w:webHidden/>
          </w:rPr>
          <w:fldChar w:fldCharType="end"/>
        </w:r>
      </w:hyperlink>
    </w:p>
    <w:p w14:paraId="4C8C0C6A" w14:textId="04316BF7" w:rsidR="00862E71" w:rsidRDefault="00E75AFC" w:rsidP="00054CA2">
      <w:pPr>
        <w:pStyle w:val="TOC3"/>
        <w:rPr>
          <w:rFonts w:eastAsiaTheme="minorEastAsia" w:cstheme="minorBidi"/>
          <w:noProof/>
          <w:sz w:val="22"/>
          <w:szCs w:val="22"/>
          <w:lang w:val="en-AU" w:eastAsia="en-AU" w:bidi="ar-SA"/>
        </w:rPr>
      </w:pPr>
      <w:hyperlink w:anchor="_Toc122602233" w:history="1">
        <w:r w:rsidR="00862E71" w:rsidRPr="00EF3AAD">
          <w:rPr>
            <w:rStyle w:val="Hyperlink"/>
            <w:noProof/>
          </w:rPr>
          <w:t>6.1.3</w:t>
        </w:r>
        <w:r w:rsidR="00862E71">
          <w:rPr>
            <w:rFonts w:eastAsiaTheme="minorEastAsia" w:cstheme="minorBidi"/>
            <w:noProof/>
            <w:sz w:val="22"/>
            <w:szCs w:val="22"/>
            <w:lang w:val="en-AU" w:eastAsia="en-AU" w:bidi="ar-SA"/>
          </w:rPr>
          <w:tab/>
        </w:r>
        <w:r w:rsidR="00862E71" w:rsidRPr="00EF3AAD">
          <w:rPr>
            <w:rStyle w:val="Hyperlink"/>
            <w:noProof/>
          </w:rPr>
          <w:t>Warning and advisory statements</w:t>
        </w:r>
        <w:r w:rsidR="00862E71">
          <w:rPr>
            <w:noProof/>
            <w:webHidden/>
          </w:rPr>
          <w:tab/>
        </w:r>
        <w:r w:rsidR="00862E71">
          <w:rPr>
            <w:noProof/>
            <w:webHidden/>
          </w:rPr>
          <w:fldChar w:fldCharType="begin"/>
        </w:r>
        <w:r w:rsidR="00862E71">
          <w:rPr>
            <w:noProof/>
            <w:webHidden/>
          </w:rPr>
          <w:instrText xml:space="preserve"> PAGEREF _Toc122602233 \h </w:instrText>
        </w:r>
        <w:r w:rsidR="00862E71">
          <w:rPr>
            <w:noProof/>
            <w:webHidden/>
          </w:rPr>
        </w:r>
        <w:r w:rsidR="00862E71">
          <w:rPr>
            <w:noProof/>
            <w:webHidden/>
          </w:rPr>
          <w:fldChar w:fldCharType="separate"/>
        </w:r>
        <w:r w:rsidR="00862E71">
          <w:rPr>
            <w:noProof/>
            <w:webHidden/>
          </w:rPr>
          <w:t>23</w:t>
        </w:r>
        <w:r w:rsidR="00862E71">
          <w:rPr>
            <w:noProof/>
            <w:webHidden/>
          </w:rPr>
          <w:fldChar w:fldCharType="end"/>
        </w:r>
      </w:hyperlink>
    </w:p>
    <w:p w14:paraId="33C5241D" w14:textId="0FC35FD2" w:rsidR="00862E71" w:rsidRDefault="00E75AFC" w:rsidP="00054CA2">
      <w:pPr>
        <w:pStyle w:val="TOC3"/>
        <w:rPr>
          <w:rFonts w:eastAsiaTheme="minorEastAsia" w:cstheme="minorBidi"/>
          <w:noProof/>
          <w:sz w:val="22"/>
          <w:szCs w:val="22"/>
          <w:lang w:val="en-AU" w:eastAsia="en-AU" w:bidi="ar-SA"/>
        </w:rPr>
      </w:pPr>
      <w:hyperlink w:anchor="_Toc122602234" w:history="1">
        <w:r w:rsidR="00862E71" w:rsidRPr="00EF3AAD">
          <w:rPr>
            <w:rStyle w:val="Hyperlink"/>
            <w:noProof/>
          </w:rPr>
          <w:t>6.1.4</w:t>
        </w:r>
        <w:r w:rsidR="00862E71">
          <w:rPr>
            <w:rFonts w:eastAsiaTheme="minorEastAsia" w:cstheme="minorBidi"/>
            <w:noProof/>
            <w:sz w:val="22"/>
            <w:szCs w:val="22"/>
            <w:lang w:val="en-AU" w:eastAsia="en-AU" w:bidi="ar-SA"/>
          </w:rPr>
          <w:tab/>
        </w:r>
        <w:r w:rsidR="00862E71" w:rsidRPr="00EF3AAD">
          <w:rPr>
            <w:rStyle w:val="Hyperlink"/>
            <w:noProof/>
          </w:rPr>
          <w:t>Nutrition information requirements</w:t>
        </w:r>
        <w:r w:rsidR="00862E71">
          <w:rPr>
            <w:noProof/>
            <w:webHidden/>
          </w:rPr>
          <w:tab/>
        </w:r>
        <w:r w:rsidR="00862E71">
          <w:rPr>
            <w:noProof/>
            <w:webHidden/>
          </w:rPr>
          <w:fldChar w:fldCharType="begin"/>
        </w:r>
        <w:r w:rsidR="00862E71">
          <w:rPr>
            <w:noProof/>
            <w:webHidden/>
          </w:rPr>
          <w:instrText xml:space="preserve"> PAGEREF _Toc122602234 \h </w:instrText>
        </w:r>
        <w:r w:rsidR="00862E71">
          <w:rPr>
            <w:noProof/>
            <w:webHidden/>
          </w:rPr>
        </w:r>
        <w:r w:rsidR="00862E71">
          <w:rPr>
            <w:noProof/>
            <w:webHidden/>
          </w:rPr>
          <w:fldChar w:fldCharType="separate"/>
        </w:r>
        <w:r w:rsidR="00862E71">
          <w:rPr>
            <w:noProof/>
            <w:webHidden/>
          </w:rPr>
          <w:t>23</w:t>
        </w:r>
        <w:r w:rsidR="00862E71">
          <w:rPr>
            <w:noProof/>
            <w:webHidden/>
          </w:rPr>
          <w:fldChar w:fldCharType="end"/>
        </w:r>
      </w:hyperlink>
    </w:p>
    <w:p w14:paraId="2D072BB4" w14:textId="08A49769" w:rsidR="00862E71" w:rsidRDefault="00E75AFC" w:rsidP="00054CA2">
      <w:pPr>
        <w:pStyle w:val="TOC3"/>
        <w:rPr>
          <w:rFonts w:eastAsiaTheme="minorEastAsia" w:cstheme="minorBidi"/>
          <w:noProof/>
          <w:sz w:val="22"/>
          <w:szCs w:val="22"/>
          <w:lang w:val="en-AU" w:eastAsia="en-AU" w:bidi="ar-SA"/>
        </w:rPr>
      </w:pPr>
      <w:hyperlink w:anchor="_Toc122602235" w:history="1">
        <w:r w:rsidR="00862E71" w:rsidRPr="00EF3AAD">
          <w:rPr>
            <w:rStyle w:val="Hyperlink"/>
            <w:noProof/>
          </w:rPr>
          <w:t>6.1.5</w:t>
        </w:r>
        <w:r w:rsidR="00862E71">
          <w:rPr>
            <w:rFonts w:eastAsiaTheme="minorEastAsia" w:cstheme="minorBidi"/>
            <w:noProof/>
            <w:sz w:val="22"/>
            <w:szCs w:val="22"/>
            <w:lang w:val="en-AU" w:eastAsia="en-AU" w:bidi="ar-SA"/>
          </w:rPr>
          <w:tab/>
        </w:r>
        <w:r w:rsidR="00862E71" w:rsidRPr="00EF3AAD">
          <w:rPr>
            <w:rStyle w:val="Hyperlink"/>
            <w:noProof/>
          </w:rPr>
          <w:t>Nutrition content and health claims</w:t>
        </w:r>
        <w:r w:rsidR="00862E71">
          <w:rPr>
            <w:noProof/>
            <w:webHidden/>
          </w:rPr>
          <w:tab/>
        </w:r>
        <w:r w:rsidR="00862E71">
          <w:rPr>
            <w:noProof/>
            <w:webHidden/>
          </w:rPr>
          <w:fldChar w:fldCharType="begin"/>
        </w:r>
        <w:r w:rsidR="00862E71">
          <w:rPr>
            <w:noProof/>
            <w:webHidden/>
          </w:rPr>
          <w:instrText xml:space="preserve"> PAGEREF _Toc122602235 \h </w:instrText>
        </w:r>
        <w:r w:rsidR="00862E71">
          <w:rPr>
            <w:noProof/>
            <w:webHidden/>
          </w:rPr>
        </w:r>
        <w:r w:rsidR="00862E71">
          <w:rPr>
            <w:noProof/>
            <w:webHidden/>
          </w:rPr>
          <w:fldChar w:fldCharType="separate"/>
        </w:r>
        <w:r w:rsidR="00862E71">
          <w:rPr>
            <w:noProof/>
            <w:webHidden/>
          </w:rPr>
          <w:t>24</w:t>
        </w:r>
        <w:r w:rsidR="00862E71">
          <w:rPr>
            <w:noProof/>
            <w:webHidden/>
          </w:rPr>
          <w:fldChar w:fldCharType="end"/>
        </w:r>
      </w:hyperlink>
    </w:p>
    <w:p w14:paraId="07245097" w14:textId="2EDAC2EB" w:rsidR="00862E71" w:rsidRDefault="00E75AFC" w:rsidP="00054CA2">
      <w:pPr>
        <w:pStyle w:val="TOC3"/>
        <w:rPr>
          <w:rFonts w:eastAsiaTheme="minorEastAsia" w:cstheme="minorBidi"/>
          <w:noProof/>
          <w:sz w:val="22"/>
          <w:szCs w:val="22"/>
          <w:lang w:val="en-AU" w:eastAsia="en-AU" w:bidi="ar-SA"/>
        </w:rPr>
      </w:pPr>
      <w:hyperlink w:anchor="_Toc122602236" w:history="1">
        <w:r w:rsidR="00862E71" w:rsidRPr="00EF3AAD">
          <w:rPr>
            <w:rStyle w:val="Hyperlink"/>
            <w:noProof/>
          </w:rPr>
          <w:t>6.1.6</w:t>
        </w:r>
        <w:r w:rsidR="00862E71">
          <w:rPr>
            <w:rFonts w:eastAsiaTheme="minorEastAsia" w:cstheme="minorBidi"/>
            <w:noProof/>
            <w:sz w:val="22"/>
            <w:szCs w:val="22"/>
            <w:lang w:val="en-AU" w:eastAsia="en-AU" w:bidi="ar-SA"/>
          </w:rPr>
          <w:tab/>
        </w:r>
        <w:r w:rsidR="00862E71" w:rsidRPr="00EF3AAD">
          <w:rPr>
            <w:rStyle w:val="Hyperlink"/>
            <w:noProof/>
          </w:rPr>
          <w:t xml:space="preserve">Labelling statements for particular </w:t>
        </w:r>
        <w:r w:rsidR="00B60934">
          <w:rPr>
            <w:rStyle w:val="Hyperlink"/>
            <w:noProof/>
          </w:rPr>
          <w:t>sports foods</w:t>
        </w:r>
        <w:r w:rsidR="00862E71">
          <w:rPr>
            <w:noProof/>
            <w:webHidden/>
          </w:rPr>
          <w:tab/>
        </w:r>
        <w:r w:rsidR="00862E71">
          <w:rPr>
            <w:noProof/>
            <w:webHidden/>
          </w:rPr>
          <w:fldChar w:fldCharType="begin"/>
        </w:r>
        <w:r w:rsidR="00862E71">
          <w:rPr>
            <w:noProof/>
            <w:webHidden/>
          </w:rPr>
          <w:instrText xml:space="preserve"> PAGEREF _Toc122602236 \h </w:instrText>
        </w:r>
        <w:r w:rsidR="00862E71">
          <w:rPr>
            <w:noProof/>
            <w:webHidden/>
          </w:rPr>
        </w:r>
        <w:r w:rsidR="00862E71">
          <w:rPr>
            <w:noProof/>
            <w:webHidden/>
          </w:rPr>
          <w:fldChar w:fldCharType="separate"/>
        </w:r>
        <w:r w:rsidR="00862E71">
          <w:rPr>
            <w:noProof/>
            <w:webHidden/>
          </w:rPr>
          <w:t>25</w:t>
        </w:r>
        <w:r w:rsidR="00862E71">
          <w:rPr>
            <w:noProof/>
            <w:webHidden/>
          </w:rPr>
          <w:fldChar w:fldCharType="end"/>
        </w:r>
      </w:hyperlink>
    </w:p>
    <w:p w14:paraId="17346D2D" w14:textId="41A3D62C" w:rsidR="00862E71" w:rsidRDefault="00E75AFC" w:rsidP="00054CA2">
      <w:pPr>
        <w:pStyle w:val="TOC3"/>
        <w:rPr>
          <w:rFonts w:eastAsiaTheme="minorEastAsia" w:cstheme="minorBidi"/>
          <w:noProof/>
          <w:sz w:val="22"/>
          <w:szCs w:val="22"/>
          <w:lang w:val="en-AU" w:eastAsia="en-AU" w:bidi="ar-SA"/>
        </w:rPr>
      </w:pPr>
      <w:hyperlink w:anchor="_Toc122602237" w:history="1">
        <w:r w:rsidR="00862E71" w:rsidRPr="00EF3AAD">
          <w:rPr>
            <w:rStyle w:val="Hyperlink"/>
            <w:noProof/>
          </w:rPr>
          <w:t>6.1.7</w:t>
        </w:r>
        <w:r w:rsidR="00862E71">
          <w:rPr>
            <w:rFonts w:eastAsiaTheme="minorEastAsia" w:cstheme="minorBidi"/>
            <w:noProof/>
            <w:sz w:val="22"/>
            <w:szCs w:val="22"/>
            <w:lang w:val="en-AU" w:eastAsia="en-AU" w:bidi="ar-SA"/>
          </w:rPr>
          <w:tab/>
        </w:r>
        <w:r w:rsidR="00862E71" w:rsidRPr="00EF3AAD">
          <w:rPr>
            <w:rStyle w:val="Hyperlink"/>
            <w:noProof/>
          </w:rPr>
          <w:t>Discussion</w:t>
        </w:r>
        <w:r w:rsidR="00862E71">
          <w:rPr>
            <w:noProof/>
            <w:webHidden/>
          </w:rPr>
          <w:tab/>
        </w:r>
        <w:r w:rsidR="00862E71">
          <w:rPr>
            <w:noProof/>
            <w:webHidden/>
          </w:rPr>
          <w:fldChar w:fldCharType="begin"/>
        </w:r>
        <w:r w:rsidR="00862E71">
          <w:rPr>
            <w:noProof/>
            <w:webHidden/>
          </w:rPr>
          <w:instrText xml:space="preserve"> PAGEREF _Toc122602237 \h </w:instrText>
        </w:r>
        <w:r w:rsidR="00862E71">
          <w:rPr>
            <w:noProof/>
            <w:webHidden/>
          </w:rPr>
        </w:r>
        <w:r w:rsidR="00862E71">
          <w:rPr>
            <w:noProof/>
            <w:webHidden/>
          </w:rPr>
          <w:fldChar w:fldCharType="separate"/>
        </w:r>
        <w:r w:rsidR="00862E71">
          <w:rPr>
            <w:noProof/>
            <w:webHidden/>
          </w:rPr>
          <w:t>26</w:t>
        </w:r>
        <w:r w:rsidR="00862E71">
          <w:rPr>
            <w:noProof/>
            <w:webHidden/>
          </w:rPr>
          <w:fldChar w:fldCharType="end"/>
        </w:r>
      </w:hyperlink>
    </w:p>
    <w:p w14:paraId="514D134A" w14:textId="07675B69" w:rsidR="00862E71" w:rsidRDefault="00E75AFC" w:rsidP="00054CA2">
      <w:pPr>
        <w:pStyle w:val="TOC3"/>
        <w:rPr>
          <w:rFonts w:eastAsiaTheme="minorEastAsia" w:cstheme="minorBidi"/>
          <w:noProof/>
          <w:sz w:val="22"/>
          <w:szCs w:val="22"/>
          <w:lang w:val="en-AU" w:eastAsia="en-AU" w:bidi="ar-SA"/>
        </w:rPr>
      </w:pPr>
      <w:hyperlink w:anchor="_Toc122602238" w:history="1">
        <w:r w:rsidR="00862E71" w:rsidRPr="00EF3AAD">
          <w:rPr>
            <w:rStyle w:val="Hyperlink"/>
            <w:noProof/>
          </w:rPr>
          <w:t>6.1.8</w:t>
        </w:r>
        <w:r w:rsidR="00862E71">
          <w:rPr>
            <w:rFonts w:eastAsiaTheme="minorEastAsia" w:cstheme="minorBidi"/>
            <w:noProof/>
            <w:sz w:val="22"/>
            <w:szCs w:val="22"/>
            <w:lang w:val="en-AU" w:eastAsia="en-AU" w:bidi="ar-SA"/>
          </w:rPr>
          <w:tab/>
        </w:r>
        <w:r w:rsidR="00862E71" w:rsidRPr="00EF3AAD">
          <w:rPr>
            <w:rStyle w:val="Hyperlink"/>
            <w:noProof/>
          </w:rPr>
          <w:t>Questions</w:t>
        </w:r>
        <w:r w:rsidR="00862E71">
          <w:rPr>
            <w:noProof/>
            <w:webHidden/>
          </w:rPr>
          <w:tab/>
        </w:r>
        <w:r w:rsidR="00862E71">
          <w:rPr>
            <w:noProof/>
            <w:webHidden/>
          </w:rPr>
          <w:fldChar w:fldCharType="begin"/>
        </w:r>
        <w:r w:rsidR="00862E71">
          <w:rPr>
            <w:noProof/>
            <w:webHidden/>
          </w:rPr>
          <w:instrText xml:space="preserve"> PAGEREF _Toc122602238 \h </w:instrText>
        </w:r>
        <w:r w:rsidR="00862E71">
          <w:rPr>
            <w:noProof/>
            <w:webHidden/>
          </w:rPr>
        </w:r>
        <w:r w:rsidR="00862E71">
          <w:rPr>
            <w:noProof/>
            <w:webHidden/>
          </w:rPr>
          <w:fldChar w:fldCharType="separate"/>
        </w:r>
        <w:r w:rsidR="00862E71">
          <w:rPr>
            <w:noProof/>
            <w:webHidden/>
          </w:rPr>
          <w:t>26</w:t>
        </w:r>
        <w:r w:rsidR="00862E71">
          <w:rPr>
            <w:noProof/>
            <w:webHidden/>
          </w:rPr>
          <w:fldChar w:fldCharType="end"/>
        </w:r>
      </w:hyperlink>
    </w:p>
    <w:p w14:paraId="14E9E3B7" w14:textId="38800938" w:rsidR="00862E71" w:rsidRDefault="00E75AFC">
      <w:pPr>
        <w:pStyle w:val="TOC1"/>
        <w:tabs>
          <w:tab w:val="left" w:pos="440"/>
        </w:tabs>
        <w:rPr>
          <w:rFonts w:eastAsiaTheme="minorEastAsia" w:cstheme="minorBidi"/>
          <w:b w:val="0"/>
          <w:bCs w:val="0"/>
          <w:caps w:val="0"/>
          <w:noProof/>
          <w:sz w:val="22"/>
          <w:szCs w:val="22"/>
          <w:lang w:val="en-AU" w:eastAsia="en-AU" w:bidi="ar-SA"/>
        </w:rPr>
      </w:pPr>
      <w:hyperlink w:anchor="_Toc122602239" w:history="1">
        <w:r w:rsidR="00862E71" w:rsidRPr="00EF3AAD">
          <w:rPr>
            <w:rStyle w:val="Hyperlink"/>
            <w:noProof/>
            <w:lang w:eastAsia="en-AU"/>
          </w:rPr>
          <w:t>7</w:t>
        </w:r>
        <w:r w:rsidR="00862E71">
          <w:rPr>
            <w:rFonts w:eastAsiaTheme="minorEastAsia" w:cstheme="minorBidi"/>
            <w:b w:val="0"/>
            <w:bCs w:val="0"/>
            <w:caps w:val="0"/>
            <w:noProof/>
            <w:sz w:val="22"/>
            <w:szCs w:val="22"/>
            <w:lang w:val="en-AU" w:eastAsia="en-AU" w:bidi="ar-SA"/>
          </w:rPr>
          <w:tab/>
        </w:r>
        <w:r w:rsidR="00862E71" w:rsidRPr="00EF3AAD">
          <w:rPr>
            <w:rStyle w:val="Hyperlink"/>
            <w:noProof/>
            <w:lang w:eastAsia="en-AU"/>
          </w:rPr>
          <w:t>Questions summary</w:t>
        </w:r>
        <w:r w:rsidR="00862E71">
          <w:rPr>
            <w:noProof/>
            <w:webHidden/>
          </w:rPr>
          <w:tab/>
        </w:r>
        <w:r w:rsidR="00862E71">
          <w:rPr>
            <w:noProof/>
            <w:webHidden/>
          </w:rPr>
          <w:fldChar w:fldCharType="begin"/>
        </w:r>
        <w:r w:rsidR="00862E71">
          <w:rPr>
            <w:noProof/>
            <w:webHidden/>
          </w:rPr>
          <w:instrText xml:space="preserve"> PAGEREF _Toc122602239 \h </w:instrText>
        </w:r>
        <w:r w:rsidR="00862E71">
          <w:rPr>
            <w:noProof/>
            <w:webHidden/>
          </w:rPr>
        </w:r>
        <w:r w:rsidR="00862E71">
          <w:rPr>
            <w:noProof/>
            <w:webHidden/>
          </w:rPr>
          <w:fldChar w:fldCharType="separate"/>
        </w:r>
        <w:r w:rsidR="00862E71">
          <w:rPr>
            <w:noProof/>
            <w:webHidden/>
          </w:rPr>
          <w:t>27</w:t>
        </w:r>
        <w:r w:rsidR="00862E71">
          <w:rPr>
            <w:noProof/>
            <w:webHidden/>
          </w:rPr>
          <w:fldChar w:fldCharType="end"/>
        </w:r>
      </w:hyperlink>
    </w:p>
    <w:p w14:paraId="198F5CAB" w14:textId="1506ECF8" w:rsidR="004B7295" w:rsidRDefault="00A30923" w:rsidP="0066178F">
      <w:pPr>
        <w:pStyle w:val="TOC1"/>
        <w:rPr>
          <w:rFonts w:eastAsiaTheme="minorEastAsia" w:cstheme="minorBidi"/>
          <w:noProof/>
          <w:sz w:val="22"/>
          <w:szCs w:val="22"/>
          <w:lang w:val="en-AU" w:eastAsia="en-AU" w:bidi="ar-SA"/>
        </w:rPr>
      </w:pPr>
      <w:r>
        <w:fldChar w:fldCharType="end"/>
      </w:r>
    </w:p>
    <w:p w14:paraId="657994E8" w14:textId="7B7262C6" w:rsidR="00562917" w:rsidRDefault="00562917" w:rsidP="00051ED9"/>
    <w:p w14:paraId="04526246" w14:textId="77777777" w:rsidR="00E066BA" w:rsidRDefault="00E066BA" w:rsidP="00051ED9"/>
    <w:p w14:paraId="6790D0AC" w14:textId="77777777" w:rsidR="00051ED9" w:rsidRDefault="00562917" w:rsidP="00772BDC">
      <w:r w:rsidRPr="00E203C2">
        <w:br w:type="page"/>
      </w:r>
    </w:p>
    <w:p w14:paraId="46F2FA27" w14:textId="208B35AE" w:rsidR="00901658" w:rsidRDefault="00816E2A" w:rsidP="00E204E4">
      <w:pPr>
        <w:pStyle w:val="Heading1"/>
      </w:pPr>
      <w:bookmarkStart w:id="3" w:name="_Toc122602185"/>
      <w:r>
        <w:lastRenderedPageBreak/>
        <w:t>Introduction</w:t>
      </w:r>
      <w:bookmarkEnd w:id="3"/>
    </w:p>
    <w:p w14:paraId="1F39C8E3" w14:textId="7E5584CC" w:rsidR="00816E2A" w:rsidRPr="00B26614" w:rsidRDefault="00816E2A" w:rsidP="006B18A1">
      <w:pPr>
        <w:spacing w:after="160"/>
        <w:rPr>
          <w:lang w:eastAsia="en-AU"/>
        </w:rPr>
      </w:pPr>
      <w:r w:rsidRPr="46DBC1C2">
        <w:rPr>
          <w:lang w:eastAsia="en-AU"/>
        </w:rPr>
        <w:t xml:space="preserve">Standard 2.9.4 – Formulated supplementary sports foods was gazetted in the </w:t>
      </w:r>
      <w:r w:rsidRPr="00EF0A37">
        <w:t>Australia New Zealand Food Standards Code</w:t>
      </w:r>
      <w:r>
        <w:t xml:space="preserve"> (the Code) in </w:t>
      </w:r>
      <w:r w:rsidRPr="46DBC1C2">
        <w:rPr>
          <w:lang w:eastAsia="en-AU"/>
        </w:rPr>
        <w:t xml:space="preserve">1998 and is the only standard that was not reviewed when the joint Code came into effect in 2000-02. As a result, Standard 2.9.4 still reflects the 1990s market and product categorisation. Since then, the sports food market has grown significantly with greater diversity of products, product composition and </w:t>
      </w:r>
      <w:r>
        <w:rPr>
          <w:lang w:eastAsia="en-AU"/>
        </w:rPr>
        <w:t>c</w:t>
      </w:r>
      <w:r w:rsidRPr="46DBC1C2">
        <w:rPr>
          <w:lang w:eastAsia="en-AU"/>
        </w:rPr>
        <w:t>onsumers. Proposal P1010 – Review of formulated supplementary sports foods</w:t>
      </w:r>
      <w:r w:rsidR="00B71EDE">
        <w:rPr>
          <w:lang w:eastAsia="en-AU"/>
        </w:rPr>
        <w:t>,</w:t>
      </w:r>
      <w:r w:rsidRPr="46DBC1C2">
        <w:rPr>
          <w:lang w:eastAsia="en-AU"/>
        </w:rPr>
        <w:t xml:space="preserve"> aims to </w:t>
      </w:r>
      <w:r w:rsidR="00807E99">
        <w:rPr>
          <w:lang w:eastAsia="en-AU"/>
        </w:rPr>
        <w:t>ensure</w:t>
      </w:r>
      <w:r w:rsidR="00807E99" w:rsidRPr="46DBC1C2">
        <w:rPr>
          <w:lang w:eastAsia="en-AU"/>
        </w:rPr>
        <w:t xml:space="preserve"> </w:t>
      </w:r>
      <w:r w:rsidRPr="46DBC1C2">
        <w:rPr>
          <w:lang w:eastAsia="en-AU"/>
        </w:rPr>
        <w:t>regulation</w:t>
      </w:r>
      <w:r w:rsidR="00807E99">
        <w:rPr>
          <w:lang w:eastAsia="en-AU"/>
        </w:rPr>
        <w:t xml:space="preserve"> within the Code</w:t>
      </w:r>
      <w:r w:rsidRPr="46DBC1C2">
        <w:rPr>
          <w:lang w:eastAsia="en-AU"/>
        </w:rPr>
        <w:t xml:space="preserve"> relating to </w:t>
      </w:r>
      <w:r>
        <w:rPr>
          <w:lang w:eastAsia="en-AU"/>
        </w:rPr>
        <w:t>Formulated Supplementary Sports Foods (</w:t>
      </w:r>
      <w:r w:rsidRPr="46DBC1C2">
        <w:rPr>
          <w:lang w:eastAsia="en-AU"/>
        </w:rPr>
        <w:t>FSSF</w:t>
      </w:r>
      <w:r>
        <w:rPr>
          <w:lang w:eastAsia="en-AU"/>
        </w:rPr>
        <w:t>)</w:t>
      </w:r>
      <w:r w:rsidRPr="46DBC1C2">
        <w:rPr>
          <w:lang w:eastAsia="en-AU"/>
        </w:rPr>
        <w:t xml:space="preserve"> is clear and functions well now and</w:t>
      </w:r>
      <w:r w:rsidR="00807E99">
        <w:rPr>
          <w:lang w:eastAsia="en-AU"/>
        </w:rPr>
        <w:t xml:space="preserve"> </w:t>
      </w:r>
      <w:r w:rsidR="13956D81" w:rsidRPr="787ACF68">
        <w:rPr>
          <w:lang w:eastAsia="en-AU"/>
        </w:rPr>
        <w:t>considers</w:t>
      </w:r>
      <w:r w:rsidRPr="46DBC1C2" w:rsidDel="00807E99">
        <w:rPr>
          <w:lang w:eastAsia="en-AU"/>
        </w:rPr>
        <w:t xml:space="preserve"> </w:t>
      </w:r>
      <w:r w:rsidRPr="46DBC1C2">
        <w:rPr>
          <w:lang w:eastAsia="en-AU"/>
        </w:rPr>
        <w:t>future</w:t>
      </w:r>
      <w:r w:rsidR="00807E99">
        <w:rPr>
          <w:lang w:eastAsia="en-AU"/>
        </w:rPr>
        <w:t xml:space="preserve"> possible innovation</w:t>
      </w:r>
      <w:r w:rsidRPr="46DBC1C2">
        <w:rPr>
          <w:lang w:eastAsia="en-AU"/>
        </w:rPr>
        <w:t xml:space="preserve">. </w:t>
      </w:r>
    </w:p>
    <w:p w14:paraId="3422FAD0" w14:textId="5984EFD8" w:rsidR="00901658" w:rsidRDefault="00816E2A" w:rsidP="00324B88">
      <w:pPr>
        <w:pStyle w:val="Heading2"/>
      </w:pPr>
      <w:bookmarkStart w:id="4" w:name="_Toc122602186"/>
      <w:r>
        <w:t>Purpose of consultation paper</w:t>
      </w:r>
      <w:bookmarkEnd w:id="4"/>
    </w:p>
    <w:p w14:paraId="4BFE17A6" w14:textId="77777777" w:rsidR="008131EF" w:rsidRPr="001F55CA" w:rsidRDefault="008131EF" w:rsidP="008131EF">
      <w:pPr>
        <w:spacing w:after="160"/>
        <w:rPr>
          <w:rStyle w:val="normaltextrun"/>
          <w:rFonts w:cstheme="minorBidi"/>
        </w:rPr>
      </w:pPr>
      <w:r w:rsidRPr="5E7CA050">
        <w:rPr>
          <w:rStyle w:val="normaltextrun"/>
          <w:rFonts w:cstheme="minorBidi"/>
        </w:rPr>
        <w:t>This paper continues stakeholder consultation for Proposal P1010 and discusses aspects of the regulatory framework for Standard 2.9.4, Schedule 29 and other relevant standards in the Code.</w:t>
      </w:r>
    </w:p>
    <w:p w14:paraId="6CFAAE98" w14:textId="32505EDA" w:rsidR="00816E2A" w:rsidRPr="00B26614" w:rsidRDefault="00816E2A" w:rsidP="006B18A1">
      <w:pPr>
        <w:spacing w:after="160"/>
        <w:rPr>
          <w:lang w:eastAsia="en-AU"/>
        </w:rPr>
      </w:pPr>
      <w:r w:rsidRPr="46DBC1C2">
        <w:rPr>
          <w:lang w:eastAsia="en-AU"/>
        </w:rPr>
        <w:t xml:space="preserve">This consultation paper focuses on the framework underpinning the regulation of </w:t>
      </w:r>
      <w:r w:rsidR="00CF3306">
        <w:rPr>
          <w:lang w:eastAsia="en-AU"/>
        </w:rPr>
        <w:t>sports foods</w:t>
      </w:r>
      <w:r w:rsidR="00CF3306" w:rsidRPr="46DBC1C2">
        <w:rPr>
          <w:lang w:eastAsia="en-AU"/>
        </w:rPr>
        <w:t xml:space="preserve"> </w:t>
      </w:r>
      <w:r w:rsidRPr="46DBC1C2">
        <w:rPr>
          <w:lang w:eastAsia="en-AU"/>
        </w:rPr>
        <w:t xml:space="preserve">in Australia and New Zealand. </w:t>
      </w:r>
      <w:r w:rsidRPr="46DBC1C2">
        <w:rPr>
          <w:rStyle w:val="normaltextrun"/>
          <w:rFonts w:cstheme="minorBidi"/>
          <w:color w:val="000000" w:themeColor="text1"/>
        </w:rPr>
        <w:t>Food Standards Australia New Zealand (</w:t>
      </w:r>
      <w:r w:rsidRPr="46DBC1C2">
        <w:rPr>
          <w:lang w:eastAsia="en-AU"/>
        </w:rPr>
        <w:t xml:space="preserve">FSANZ) is seeking views on various aspects of </w:t>
      </w:r>
      <w:r w:rsidR="00002665">
        <w:rPr>
          <w:lang w:eastAsia="en-AU"/>
        </w:rPr>
        <w:t xml:space="preserve">this </w:t>
      </w:r>
      <w:r w:rsidRPr="46DBC1C2">
        <w:rPr>
          <w:lang w:eastAsia="en-AU"/>
        </w:rPr>
        <w:t>regulation</w:t>
      </w:r>
      <w:r>
        <w:rPr>
          <w:lang w:eastAsia="en-AU"/>
        </w:rPr>
        <w:t xml:space="preserve">. </w:t>
      </w:r>
      <w:r w:rsidRPr="46DBC1C2">
        <w:rPr>
          <w:lang w:eastAsia="en-AU"/>
        </w:rPr>
        <w:t>FSANZ is also seeking views on the positioning of electrolyte drinks within the Code. Responses received to this consultation paper will be considered by FSANZ and will inform the proposed regulatory approach put forward in the 1</w:t>
      </w:r>
      <w:r w:rsidRPr="46DBC1C2">
        <w:rPr>
          <w:vertAlign w:val="superscript"/>
          <w:lang w:eastAsia="en-AU"/>
        </w:rPr>
        <w:t>st</w:t>
      </w:r>
      <w:r w:rsidRPr="46DBC1C2">
        <w:rPr>
          <w:lang w:eastAsia="en-AU"/>
        </w:rPr>
        <w:t xml:space="preserve"> Call for Submissions (CFS).</w:t>
      </w:r>
    </w:p>
    <w:p w14:paraId="6808E1C5" w14:textId="77777777" w:rsidR="00816E2A" w:rsidRPr="00B26614" w:rsidRDefault="00816E2A" w:rsidP="006B18A1">
      <w:pPr>
        <w:spacing w:after="160"/>
        <w:rPr>
          <w:lang w:eastAsia="en-AU"/>
        </w:rPr>
      </w:pPr>
      <w:r w:rsidRPr="0E77EA93">
        <w:rPr>
          <w:lang w:eastAsia="en-AU"/>
        </w:rPr>
        <w:t xml:space="preserve">The issues considered in this paper do not reflect the entirety of issues that will be considered in </w:t>
      </w:r>
      <w:r>
        <w:rPr>
          <w:lang w:eastAsia="en-AU"/>
        </w:rPr>
        <w:t xml:space="preserve">the </w:t>
      </w:r>
      <w:r w:rsidRPr="0E77EA93">
        <w:rPr>
          <w:lang w:eastAsia="en-AU"/>
        </w:rPr>
        <w:t xml:space="preserve">Proposal P1010 review. Further information about the scope of this consultation paper is outlined below in Section </w:t>
      </w:r>
      <w:r w:rsidRPr="00002665">
        <w:rPr>
          <w:lang w:eastAsia="en-AU"/>
        </w:rPr>
        <w:t>1.2.</w:t>
      </w:r>
      <w:r w:rsidRPr="0E77EA93">
        <w:rPr>
          <w:lang w:eastAsia="en-AU"/>
        </w:rPr>
        <w:t xml:space="preserve"> </w:t>
      </w:r>
    </w:p>
    <w:p w14:paraId="0F25E1DD" w14:textId="62F414D5" w:rsidR="00816E2A" w:rsidRDefault="00816E2A" w:rsidP="00324B88">
      <w:pPr>
        <w:pStyle w:val="Heading2"/>
      </w:pPr>
      <w:bookmarkStart w:id="5" w:name="_Toc122602187"/>
      <w:r>
        <w:t>Scope and approach</w:t>
      </w:r>
      <w:bookmarkEnd w:id="5"/>
    </w:p>
    <w:p w14:paraId="2E940D02" w14:textId="4C0E149E" w:rsidR="00C87DDD" w:rsidRDefault="132F9243" w:rsidP="273439B9">
      <w:pPr>
        <w:spacing w:after="160"/>
        <w:rPr>
          <w:lang w:eastAsia="en-AU"/>
        </w:rPr>
      </w:pPr>
      <w:r w:rsidRPr="5E7CA050">
        <w:rPr>
          <w:rStyle w:val="normaltextrun"/>
          <w:rFonts w:cstheme="minorBidi"/>
          <w:color w:val="000000" w:themeColor="text1"/>
        </w:rPr>
        <w:t xml:space="preserve">Sports foods are regulated in the Code under Standard 2.9.4 – Formulated supplementary sports foods and Schedule 29 – Special purpose foods. Other standards also contain provisions related to definitions, calculations, novel foods and labelling, nutrition and health claims. </w:t>
      </w:r>
      <w:r w:rsidRPr="5E7CA050">
        <w:rPr>
          <w:lang w:eastAsia="en-AU"/>
        </w:rPr>
        <w:t xml:space="preserve">This consultation paper will gather views on most but not all aspects of Standard 2.9.4. </w:t>
      </w:r>
      <w:r w:rsidR="55D2332B" w:rsidRPr="5E7CA050">
        <w:rPr>
          <w:rStyle w:val="CommentReference"/>
          <w:rFonts w:cstheme="minorBidi"/>
          <w:sz w:val="22"/>
          <w:szCs w:val="22"/>
        </w:rPr>
        <w:t xml:space="preserve">It will </w:t>
      </w:r>
      <w:r w:rsidR="43AB1B2C" w:rsidRPr="5E7CA050">
        <w:rPr>
          <w:rStyle w:val="CommentReference"/>
          <w:rFonts w:cstheme="minorBidi"/>
          <w:sz w:val="22"/>
          <w:szCs w:val="22"/>
        </w:rPr>
        <w:t xml:space="preserve">also </w:t>
      </w:r>
      <w:r w:rsidR="55D2332B" w:rsidRPr="5E7CA050">
        <w:rPr>
          <w:lang w:eastAsia="en-AU"/>
        </w:rPr>
        <w:t>ask stakeholders to consider some preliminary questions on</w:t>
      </w:r>
      <w:r w:rsidR="2453B7FD" w:rsidRPr="5E7CA050">
        <w:rPr>
          <w:lang w:eastAsia="en-AU"/>
        </w:rPr>
        <w:t xml:space="preserve"> issues relevant to</w:t>
      </w:r>
      <w:r w:rsidR="55D2332B" w:rsidRPr="5E7CA050">
        <w:rPr>
          <w:lang w:eastAsia="en-AU"/>
        </w:rPr>
        <w:t xml:space="preserve"> </w:t>
      </w:r>
      <w:r w:rsidR="2453B7FD" w:rsidRPr="5E7CA050">
        <w:rPr>
          <w:lang w:eastAsia="en-AU"/>
        </w:rPr>
        <w:t>n</w:t>
      </w:r>
      <w:r w:rsidR="1C54F065" w:rsidRPr="5E7CA050">
        <w:rPr>
          <w:lang w:eastAsia="en-AU"/>
        </w:rPr>
        <w:t>utrition, health and related</w:t>
      </w:r>
      <w:r w:rsidR="2453B7FD" w:rsidRPr="5E7CA050">
        <w:rPr>
          <w:lang w:eastAsia="en-AU"/>
        </w:rPr>
        <w:t xml:space="preserve"> claims </w:t>
      </w:r>
      <w:r w:rsidR="189EDE39" w:rsidRPr="5E7CA050">
        <w:rPr>
          <w:lang w:eastAsia="en-AU"/>
        </w:rPr>
        <w:t>relating to</w:t>
      </w:r>
      <w:r w:rsidR="55D2332B" w:rsidRPr="5E7CA050">
        <w:rPr>
          <w:lang w:eastAsia="en-AU"/>
        </w:rPr>
        <w:t xml:space="preserve"> </w:t>
      </w:r>
      <w:r w:rsidR="00CB0297">
        <w:rPr>
          <w:lang w:eastAsia="en-AU"/>
        </w:rPr>
        <w:t>sports foods</w:t>
      </w:r>
      <w:r w:rsidR="55D2332B" w:rsidRPr="5E7CA050">
        <w:rPr>
          <w:lang w:eastAsia="en-AU"/>
        </w:rPr>
        <w:t xml:space="preserve">, with the intention to direct the scope of a subsequent consultation paper (See section </w:t>
      </w:r>
      <w:r w:rsidR="1BE9F360" w:rsidRPr="5E7CA050">
        <w:rPr>
          <w:lang w:eastAsia="en-AU"/>
        </w:rPr>
        <w:t>6</w:t>
      </w:r>
      <w:r w:rsidR="55D2332B" w:rsidRPr="5E7CA050">
        <w:rPr>
          <w:lang w:eastAsia="en-AU"/>
        </w:rPr>
        <w:t>.1.8</w:t>
      </w:r>
      <w:r w:rsidR="54443A29" w:rsidRPr="5E7CA050">
        <w:rPr>
          <w:lang w:eastAsia="en-AU"/>
        </w:rPr>
        <w:t xml:space="preserve"> of this consultation paper</w:t>
      </w:r>
      <w:r w:rsidR="55D2332B" w:rsidRPr="5E7CA050">
        <w:rPr>
          <w:lang w:eastAsia="en-AU"/>
        </w:rPr>
        <w:t xml:space="preserve">). </w:t>
      </w:r>
      <w:r w:rsidRPr="5E7CA050">
        <w:rPr>
          <w:lang w:eastAsia="en-AU"/>
        </w:rPr>
        <w:t xml:space="preserve">Some issues including </w:t>
      </w:r>
      <w:r w:rsidR="0E89B0A4" w:rsidRPr="5E7CA050">
        <w:rPr>
          <w:lang w:eastAsia="en-AU"/>
        </w:rPr>
        <w:t xml:space="preserve">specifics around </w:t>
      </w:r>
      <w:r w:rsidRPr="5E7CA050">
        <w:rPr>
          <w:lang w:eastAsia="en-AU"/>
        </w:rPr>
        <w:t xml:space="preserve">composition, safety, </w:t>
      </w:r>
      <w:r w:rsidR="2ACCEACE" w:rsidRPr="5E7CA050">
        <w:rPr>
          <w:lang w:eastAsia="en-AU"/>
        </w:rPr>
        <w:t xml:space="preserve">and </w:t>
      </w:r>
      <w:r w:rsidR="249E5EC6" w:rsidRPr="5E7CA050">
        <w:rPr>
          <w:lang w:eastAsia="en-AU"/>
        </w:rPr>
        <w:t>labelling</w:t>
      </w:r>
      <w:r w:rsidRPr="5E7CA050">
        <w:rPr>
          <w:lang w:eastAsia="en-AU"/>
        </w:rPr>
        <w:t xml:space="preserve"> will be </w:t>
      </w:r>
      <w:r w:rsidR="30180814" w:rsidRPr="5E7CA050">
        <w:rPr>
          <w:lang w:eastAsia="en-AU"/>
        </w:rPr>
        <w:t xml:space="preserve">further </w:t>
      </w:r>
      <w:r w:rsidRPr="5E7CA050">
        <w:rPr>
          <w:lang w:eastAsia="en-AU"/>
        </w:rPr>
        <w:t xml:space="preserve">considered as P1010 progresses. </w:t>
      </w:r>
    </w:p>
    <w:p w14:paraId="4D08B5E1" w14:textId="77777777" w:rsidR="00816E2A" w:rsidRPr="001F55CA" w:rsidRDefault="00816E2A" w:rsidP="006B18A1">
      <w:pPr>
        <w:spacing w:after="160"/>
        <w:rPr>
          <w:lang w:eastAsia="en-AU"/>
        </w:rPr>
      </w:pPr>
      <w:r w:rsidRPr="001F55CA">
        <w:rPr>
          <w:lang w:eastAsia="en-AU"/>
        </w:rPr>
        <w:t>The following are considered in this consultation paper:</w:t>
      </w:r>
    </w:p>
    <w:p w14:paraId="62364DC8" w14:textId="77777777" w:rsidR="00816E2A" w:rsidRPr="00AC1445" w:rsidRDefault="00816E2A" w:rsidP="006B18A1">
      <w:pPr>
        <w:pStyle w:val="FSBullet1"/>
        <w:numPr>
          <w:ilvl w:val="0"/>
          <w:numId w:val="14"/>
        </w:numPr>
        <w:spacing w:line="259" w:lineRule="auto"/>
        <w:ind w:left="357" w:hanging="357"/>
        <w:rPr>
          <w:rFonts w:eastAsiaTheme="minorEastAsia"/>
          <w:lang w:eastAsia="en-AU"/>
        </w:rPr>
      </w:pPr>
      <w:r>
        <w:rPr>
          <w:lang w:eastAsia="en-AU"/>
        </w:rPr>
        <w:t>sports foods market overview</w:t>
      </w:r>
    </w:p>
    <w:p w14:paraId="5852D1B7" w14:textId="77777777" w:rsidR="00816E2A" w:rsidRPr="001F55CA" w:rsidRDefault="00816E2A" w:rsidP="006B18A1">
      <w:pPr>
        <w:pStyle w:val="FSBullet1"/>
        <w:numPr>
          <w:ilvl w:val="0"/>
          <w:numId w:val="14"/>
        </w:numPr>
        <w:spacing w:line="259" w:lineRule="auto"/>
        <w:ind w:left="357" w:hanging="357"/>
        <w:rPr>
          <w:rFonts w:eastAsiaTheme="minorEastAsia"/>
          <w:lang w:eastAsia="en-AU"/>
        </w:rPr>
      </w:pPr>
      <w:r>
        <w:rPr>
          <w:lang w:eastAsia="en-AU"/>
        </w:rPr>
        <w:t>d</w:t>
      </w:r>
      <w:r w:rsidRPr="001F55CA">
        <w:rPr>
          <w:lang w:eastAsia="en-AU"/>
        </w:rPr>
        <w:t>efinitions</w:t>
      </w:r>
    </w:p>
    <w:p w14:paraId="7C442E12" w14:textId="77777777" w:rsidR="00816E2A" w:rsidRPr="001F55CA" w:rsidRDefault="00816E2A" w:rsidP="006B18A1">
      <w:pPr>
        <w:pStyle w:val="FSBullet1"/>
        <w:numPr>
          <w:ilvl w:val="0"/>
          <w:numId w:val="14"/>
        </w:numPr>
        <w:spacing w:line="259" w:lineRule="auto"/>
        <w:ind w:left="357" w:hanging="357"/>
        <w:rPr>
          <w:lang w:eastAsia="en-AU"/>
        </w:rPr>
      </w:pPr>
      <w:r>
        <w:rPr>
          <w:lang w:eastAsia="en-AU"/>
        </w:rPr>
        <w:t>o</w:t>
      </w:r>
      <w:r w:rsidRPr="001F55CA">
        <w:rPr>
          <w:lang w:eastAsia="en-AU"/>
        </w:rPr>
        <w:t>verarching composition</w:t>
      </w:r>
      <w:r>
        <w:rPr>
          <w:lang w:eastAsia="en-AU"/>
        </w:rPr>
        <w:t>al</w:t>
      </w:r>
      <w:r w:rsidRPr="001F55CA">
        <w:rPr>
          <w:lang w:eastAsia="en-AU"/>
        </w:rPr>
        <w:t xml:space="preserve"> considerations</w:t>
      </w:r>
    </w:p>
    <w:p w14:paraId="5EA86B83" w14:textId="77777777" w:rsidR="00816E2A" w:rsidRPr="001F55CA" w:rsidRDefault="00816E2A" w:rsidP="006B18A1">
      <w:pPr>
        <w:pStyle w:val="FSBullet1"/>
        <w:numPr>
          <w:ilvl w:val="0"/>
          <w:numId w:val="14"/>
        </w:numPr>
        <w:spacing w:line="259" w:lineRule="auto"/>
        <w:ind w:left="357" w:hanging="357"/>
        <w:rPr>
          <w:lang w:eastAsia="en-AU"/>
        </w:rPr>
      </w:pPr>
      <w:r w:rsidRPr="0E77EA93">
        <w:rPr>
          <w:lang w:eastAsia="en-AU"/>
        </w:rPr>
        <w:t>labelling, including required statements and representations</w:t>
      </w:r>
    </w:p>
    <w:p w14:paraId="7E316DE8" w14:textId="77777777" w:rsidR="00816E2A" w:rsidRPr="001F55CA" w:rsidRDefault="00816E2A" w:rsidP="001B3E47">
      <w:pPr>
        <w:pStyle w:val="FSBullet1"/>
        <w:numPr>
          <w:ilvl w:val="0"/>
          <w:numId w:val="14"/>
        </w:numPr>
        <w:spacing w:after="160" w:line="259" w:lineRule="auto"/>
        <w:ind w:left="357" w:hanging="357"/>
      </w:pPr>
      <w:r>
        <w:rPr>
          <w:lang w:eastAsia="en-AU"/>
        </w:rPr>
        <w:t>t</w:t>
      </w:r>
      <w:r w:rsidRPr="001F55CA">
        <w:rPr>
          <w:lang w:eastAsia="en-AU"/>
        </w:rPr>
        <w:t>he positioning of electrolyte drinks within the Code.</w:t>
      </w:r>
    </w:p>
    <w:p w14:paraId="77ED4EF6" w14:textId="245E2932" w:rsidR="00816E2A" w:rsidRPr="001F55CA" w:rsidRDefault="132F9243" w:rsidP="006B18A1">
      <w:pPr>
        <w:spacing w:after="160"/>
        <w:rPr>
          <w:lang w:eastAsia="en-AU"/>
        </w:rPr>
      </w:pPr>
      <w:r w:rsidRPr="5E7CA050">
        <w:rPr>
          <w:lang w:eastAsia="en-AU"/>
        </w:rPr>
        <w:t xml:space="preserve">FSANZ has not proposed any approaches to the regulation of </w:t>
      </w:r>
      <w:r w:rsidR="006F12E0">
        <w:rPr>
          <w:lang w:eastAsia="en-AU"/>
        </w:rPr>
        <w:t>sports foods</w:t>
      </w:r>
      <w:r w:rsidR="006F12E0" w:rsidRPr="5E7CA050">
        <w:rPr>
          <w:lang w:eastAsia="en-AU"/>
        </w:rPr>
        <w:t xml:space="preserve"> </w:t>
      </w:r>
      <w:r w:rsidRPr="5E7CA050">
        <w:rPr>
          <w:lang w:eastAsia="en-AU"/>
        </w:rPr>
        <w:t>in this consultation paper. Instead, we are seeking stakeholder views that will be considered in formulating options to be presented in the 1</w:t>
      </w:r>
      <w:r w:rsidRPr="5E7CA050">
        <w:rPr>
          <w:vertAlign w:val="superscript"/>
          <w:lang w:eastAsia="en-AU"/>
        </w:rPr>
        <w:t>st</w:t>
      </w:r>
      <w:r w:rsidRPr="5E7CA050">
        <w:rPr>
          <w:lang w:eastAsia="en-AU"/>
        </w:rPr>
        <w:t xml:space="preserve"> CFS, in line with the </w:t>
      </w:r>
      <w:r w:rsidRPr="5E7CA050">
        <w:rPr>
          <w:i/>
          <w:iCs/>
        </w:rPr>
        <w:t>Food Standards Australia New Zealand Act 1991</w:t>
      </w:r>
      <w:r>
        <w:t xml:space="preserve"> (</w:t>
      </w:r>
      <w:proofErr w:type="spellStart"/>
      <w:r>
        <w:t>Cth</w:t>
      </w:r>
      <w:proofErr w:type="spellEnd"/>
      <w:r>
        <w:t xml:space="preserve">) (FSANZ Act) </w:t>
      </w:r>
      <w:r w:rsidRPr="5E7CA050">
        <w:rPr>
          <w:lang w:eastAsia="en-AU"/>
        </w:rPr>
        <w:t xml:space="preserve">objectives. Proposal P1010 is being assessed under </w:t>
      </w:r>
      <w:r w:rsidR="45E4DAFA" w:rsidRPr="5E7CA050">
        <w:rPr>
          <w:lang w:eastAsia="en-AU"/>
        </w:rPr>
        <w:t xml:space="preserve">a </w:t>
      </w:r>
      <w:r w:rsidRPr="5E7CA050">
        <w:rPr>
          <w:lang w:eastAsia="en-AU"/>
        </w:rPr>
        <w:t xml:space="preserve">Major Procedure, meaning there will be two legislated </w:t>
      </w:r>
      <w:r w:rsidR="6C62837C" w:rsidRPr="5E7CA050">
        <w:rPr>
          <w:lang w:eastAsia="en-AU"/>
        </w:rPr>
        <w:t xml:space="preserve">public </w:t>
      </w:r>
      <w:r w:rsidRPr="5E7CA050">
        <w:rPr>
          <w:lang w:eastAsia="en-AU"/>
        </w:rPr>
        <w:t xml:space="preserve">calls for submissions. This paper is a non-statutory, additional consultation. </w:t>
      </w:r>
    </w:p>
    <w:p w14:paraId="48D013A2" w14:textId="68BA1D73" w:rsidR="00816E2A" w:rsidRDefault="00816E2A" w:rsidP="00816E2A">
      <w:pPr>
        <w:pStyle w:val="Heading1"/>
      </w:pPr>
      <w:bookmarkStart w:id="6" w:name="_Toc122602188"/>
      <w:r>
        <w:lastRenderedPageBreak/>
        <w:t>Background</w:t>
      </w:r>
      <w:bookmarkEnd w:id="6"/>
    </w:p>
    <w:p w14:paraId="4708A9B5" w14:textId="2503F925" w:rsidR="00816E2A" w:rsidRDefault="00816E2A" w:rsidP="00324B88">
      <w:pPr>
        <w:pStyle w:val="Heading2"/>
      </w:pPr>
      <w:bookmarkStart w:id="7" w:name="_Toc122602189"/>
      <w:r>
        <w:t>History</w:t>
      </w:r>
      <w:bookmarkEnd w:id="7"/>
    </w:p>
    <w:p w14:paraId="03371A0C" w14:textId="77777777" w:rsidR="00816E2A" w:rsidRPr="00B26614" w:rsidRDefault="00816E2A" w:rsidP="006B18A1">
      <w:pPr>
        <w:spacing w:after="160"/>
        <w:rPr>
          <w:lang w:val="en-AU" w:eastAsia="en-AU"/>
        </w:rPr>
      </w:pPr>
      <w:r w:rsidRPr="46DBC1C2">
        <w:rPr>
          <w:lang w:val="en-AU" w:eastAsia="en-AU"/>
        </w:rPr>
        <w:t xml:space="preserve">Proposal P1010 was formally prepared following a request from the then Ministerial Forum on Food Regulation (now the Food Ministers’ Meeting) in October 2018. This request followed a roundtable on sports supplements convened in July 2018 by the Australian Government Department of Health on behalf of the Food Regulation Standing Committee (FRSC) with a view to modernise Standard 2.9.4. </w:t>
      </w:r>
    </w:p>
    <w:p w14:paraId="73EEDD74" w14:textId="7D4ADF1B" w:rsidR="00816E2A" w:rsidRPr="00B26614" w:rsidRDefault="00816E2A" w:rsidP="006B18A1">
      <w:pPr>
        <w:spacing w:after="160"/>
        <w:rPr>
          <w:lang w:eastAsia="en-AU"/>
        </w:rPr>
      </w:pPr>
      <w:r w:rsidRPr="273439B9">
        <w:rPr>
          <w:lang w:eastAsia="en-AU"/>
        </w:rPr>
        <w:t xml:space="preserve">Following this, a series of actions were implemented across government, including work by the Therapeutics Goods Administration (TGA) on a Section 7 declaration (see </w:t>
      </w:r>
      <w:r w:rsidR="008D3F63" w:rsidRPr="273439B9">
        <w:rPr>
          <w:lang w:eastAsia="en-AU"/>
        </w:rPr>
        <w:t>s</w:t>
      </w:r>
      <w:r w:rsidRPr="273439B9">
        <w:rPr>
          <w:lang w:eastAsia="en-AU"/>
        </w:rPr>
        <w:t xml:space="preserve">ection </w:t>
      </w:r>
      <w:r w:rsidR="004B78E1">
        <w:rPr>
          <w:lang w:eastAsia="en-AU"/>
        </w:rPr>
        <w:t>2</w:t>
      </w:r>
      <w:r w:rsidR="00221539" w:rsidRPr="273439B9">
        <w:rPr>
          <w:lang w:eastAsia="en-AU"/>
        </w:rPr>
        <w:t>.2.8.1</w:t>
      </w:r>
      <w:r w:rsidR="00807E99">
        <w:rPr>
          <w:lang w:eastAsia="en-AU"/>
        </w:rPr>
        <w:t xml:space="preserve"> of this consultation paper</w:t>
      </w:r>
      <w:r w:rsidRPr="273439B9">
        <w:rPr>
          <w:lang w:eastAsia="en-AU"/>
        </w:rPr>
        <w:t xml:space="preserve">) and the provision of risk assessment advice from FSANZ to the then Department of Agriculture, Water and the Environment (now Department of Agriculture, Fisheries and Forestry (DAFF)), on certain ingredients used in sports foods. In 2019, FSANZ completed a comprehensive analysis of the sports food environment in Australia and New Zealand, which identified issues relating to regulatory requirements, public health and safety, consumer demand, product composition and industry innovation. </w:t>
      </w:r>
    </w:p>
    <w:p w14:paraId="2DB29398" w14:textId="097B102C" w:rsidR="00816E2A" w:rsidRDefault="00816E2A" w:rsidP="006B18A1">
      <w:pPr>
        <w:spacing w:after="160"/>
        <w:rPr>
          <w:lang w:eastAsia="en-AU"/>
        </w:rPr>
      </w:pPr>
      <w:r w:rsidRPr="273439B9">
        <w:rPr>
          <w:lang w:eastAsia="en-AU"/>
        </w:rPr>
        <w:t xml:space="preserve">FSANZ also held a Call for Data in 2021. The Call for Data facilitated early engagement with key industry stakeholders and professional associations, with FSANZ receiving 11 detailed contributions of technical, toxicological and nutritional data. </w:t>
      </w:r>
      <w:r w:rsidR="28075A13" w:rsidRPr="273439B9">
        <w:rPr>
          <w:lang w:eastAsia="en-AU"/>
        </w:rPr>
        <w:t xml:space="preserve">Further information on the Call for Data can be found in Section </w:t>
      </w:r>
      <w:r w:rsidR="00402259">
        <w:rPr>
          <w:lang w:eastAsia="en-AU"/>
        </w:rPr>
        <w:t>4</w:t>
      </w:r>
      <w:r w:rsidR="28075A13" w:rsidRPr="273439B9">
        <w:rPr>
          <w:lang w:eastAsia="en-AU"/>
        </w:rPr>
        <w:t>.3</w:t>
      </w:r>
      <w:r w:rsidR="00807E99">
        <w:rPr>
          <w:lang w:eastAsia="en-AU"/>
        </w:rPr>
        <w:t xml:space="preserve"> of this consultation paper</w:t>
      </w:r>
      <w:r w:rsidR="28075A13" w:rsidRPr="273439B9">
        <w:rPr>
          <w:lang w:eastAsia="en-AU"/>
        </w:rPr>
        <w:t xml:space="preserve">. </w:t>
      </w:r>
    </w:p>
    <w:p w14:paraId="36D500B7" w14:textId="4EEAEED3" w:rsidR="00816E2A" w:rsidRPr="00B26614" w:rsidRDefault="3D763573" w:rsidP="273439B9">
      <w:pPr>
        <w:spacing w:after="160"/>
        <w:rPr>
          <w:lang w:eastAsia="en-AU"/>
        </w:rPr>
      </w:pPr>
      <w:r w:rsidRPr="5E7CA050">
        <w:rPr>
          <w:lang w:eastAsia="en-AU"/>
        </w:rPr>
        <w:t xml:space="preserve">This paper continues stakeholder engagement </w:t>
      </w:r>
      <w:r w:rsidR="6B0D8ECC" w:rsidRPr="5E7CA050">
        <w:rPr>
          <w:lang w:eastAsia="en-AU"/>
        </w:rPr>
        <w:t xml:space="preserve">for P1010 </w:t>
      </w:r>
      <w:r w:rsidR="4C4FB54E" w:rsidRPr="5E7CA050">
        <w:rPr>
          <w:lang w:eastAsia="en-AU"/>
        </w:rPr>
        <w:t>and together with the Call for Data, will</w:t>
      </w:r>
      <w:r w:rsidRPr="5E7CA050">
        <w:rPr>
          <w:lang w:eastAsia="en-AU"/>
        </w:rPr>
        <w:t xml:space="preserve"> inform </w:t>
      </w:r>
      <w:r w:rsidR="6B60B6AA" w:rsidRPr="5E7CA050">
        <w:rPr>
          <w:lang w:eastAsia="en-AU"/>
        </w:rPr>
        <w:t>FSANZ</w:t>
      </w:r>
      <w:r w:rsidR="4DA6C7A5" w:rsidRPr="5E7CA050">
        <w:rPr>
          <w:lang w:eastAsia="en-AU"/>
        </w:rPr>
        <w:t>’</w:t>
      </w:r>
      <w:r w:rsidR="6B60B6AA" w:rsidRPr="5E7CA050">
        <w:rPr>
          <w:lang w:eastAsia="en-AU"/>
        </w:rPr>
        <w:t xml:space="preserve">s assessment. </w:t>
      </w:r>
      <w:r w:rsidR="17FB8B8F" w:rsidRPr="5E7CA050">
        <w:rPr>
          <w:lang w:eastAsia="en-AU"/>
        </w:rPr>
        <w:t>Finally</w:t>
      </w:r>
      <w:r w:rsidR="6B60B6AA" w:rsidRPr="5E7CA050">
        <w:rPr>
          <w:lang w:eastAsia="en-AU"/>
        </w:rPr>
        <w:t>, t</w:t>
      </w:r>
      <w:r w:rsidR="132F9243" w:rsidRPr="5E7CA050">
        <w:rPr>
          <w:lang w:eastAsia="en-AU"/>
        </w:rPr>
        <w:t>he following FSANZ proposals are of relevance to Proposal P1010:</w:t>
      </w:r>
    </w:p>
    <w:p w14:paraId="248945CC" w14:textId="6DE2B438" w:rsidR="00816E2A" w:rsidRPr="005755CB" w:rsidRDefault="00816E2A" w:rsidP="006B18A1">
      <w:pPr>
        <w:pStyle w:val="FSBullet1"/>
        <w:numPr>
          <w:ilvl w:val="0"/>
          <w:numId w:val="14"/>
        </w:numPr>
        <w:spacing w:after="160" w:line="259" w:lineRule="auto"/>
        <w:rPr>
          <w:lang w:val="en-AU" w:eastAsia="en-AU"/>
        </w:rPr>
      </w:pPr>
      <w:r w:rsidRPr="4DBF8B01">
        <w:rPr>
          <w:lang w:val="en-AU" w:eastAsia="en-AU"/>
        </w:rPr>
        <w:t>Proposal P1056</w:t>
      </w:r>
      <w:r w:rsidR="7C7A8551" w:rsidRPr="4DBF8B01">
        <w:rPr>
          <w:lang w:val="en-AU" w:eastAsia="en-AU"/>
        </w:rPr>
        <w:t>:</w:t>
      </w:r>
      <w:r w:rsidRPr="4DBF8B01">
        <w:rPr>
          <w:lang w:val="en-AU" w:eastAsia="en-AU"/>
        </w:rPr>
        <w:t xml:space="preserve"> </w:t>
      </w:r>
      <w:r w:rsidR="23C0BC9F" w:rsidRPr="4DBF8B01">
        <w:rPr>
          <w:lang w:val="en-AU" w:eastAsia="en-AU"/>
        </w:rPr>
        <w:t xml:space="preserve">Caffeine Review </w:t>
      </w:r>
      <w:r w:rsidR="52F6D4D7" w:rsidRPr="4DBF8B01">
        <w:rPr>
          <w:lang w:val="en-AU" w:eastAsia="en-AU"/>
        </w:rPr>
        <w:t xml:space="preserve">- </w:t>
      </w:r>
      <w:r w:rsidRPr="4DBF8B01">
        <w:rPr>
          <w:lang w:val="en-AU" w:eastAsia="en-AU"/>
        </w:rPr>
        <w:t xml:space="preserve">FSANZ is undertaking a full assessment of the prohibition recommended in Proposal P1054 to decide whether to confirm, reject or amend the approved variation to prohibit the retail sale of pure and highly concentrated caffeine food products. Decisions made under P1056 will influence how the P1010 review considers the use of caffeine in </w:t>
      </w:r>
      <w:r w:rsidR="00114FA9">
        <w:rPr>
          <w:lang w:val="en-AU" w:eastAsia="en-AU"/>
        </w:rPr>
        <w:t>sports foods</w:t>
      </w:r>
      <w:r w:rsidRPr="4DBF8B01">
        <w:rPr>
          <w:lang w:val="en-AU" w:eastAsia="en-AU"/>
        </w:rPr>
        <w:t>. </w:t>
      </w:r>
    </w:p>
    <w:p w14:paraId="2479BD36" w14:textId="3F349782" w:rsidR="00816E2A" w:rsidRPr="001B3E47" w:rsidRDefault="132F9243" w:rsidP="006B18A1">
      <w:pPr>
        <w:pStyle w:val="FSBullet1"/>
        <w:numPr>
          <w:ilvl w:val="0"/>
          <w:numId w:val="14"/>
        </w:numPr>
        <w:spacing w:after="160" w:line="259" w:lineRule="auto"/>
        <w:rPr>
          <w:lang w:val="en-AU" w:eastAsia="en-AU"/>
        </w:rPr>
      </w:pPr>
      <w:r w:rsidRPr="4DBF8B01">
        <w:rPr>
          <w:lang w:val="en-AU" w:eastAsia="en-AU"/>
        </w:rPr>
        <w:t xml:space="preserve">Proposal P1030: </w:t>
      </w:r>
      <w:r w:rsidR="178F0525" w:rsidRPr="4DBF8B01">
        <w:rPr>
          <w:lang w:val="en-AU" w:eastAsia="en-AU"/>
        </w:rPr>
        <w:t>Electrolyte Drinks</w:t>
      </w:r>
      <w:r w:rsidR="005E1E4F">
        <w:rPr>
          <w:lang w:val="en-AU" w:eastAsia="en-AU"/>
        </w:rPr>
        <w:t xml:space="preserve"> - </w:t>
      </w:r>
      <w:r w:rsidRPr="4DBF8B01">
        <w:rPr>
          <w:lang w:val="en-AU" w:eastAsia="en-AU"/>
        </w:rPr>
        <w:t xml:space="preserve">This was a review of the composition and labelling requirements of electrolyte drinks. The application of health claims to </w:t>
      </w:r>
      <w:r w:rsidR="004703E3">
        <w:rPr>
          <w:lang w:val="en-AU" w:eastAsia="en-AU"/>
        </w:rPr>
        <w:t>sports foods</w:t>
      </w:r>
      <w:r w:rsidR="004703E3" w:rsidRPr="4DBF8B01">
        <w:rPr>
          <w:lang w:val="en-AU" w:eastAsia="en-AU"/>
        </w:rPr>
        <w:t xml:space="preserve"> </w:t>
      </w:r>
      <w:r w:rsidRPr="4DBF8B01">
        <w:rPr>
          <w:lang w:val="en-AU" w:eastAsia="en-AU"/>
        </w:rPr>
        <w:t xml:space="preserve">was originally included in Proposal P1030 as well as consideration of whether electrolyte drinks should be transferred to Standard 2.9.4. With the raising of the broader sports foods review under Proposal P1010, the scope of P1030 was narrowed to focus </w:t>
      </w:r>
      <w:r w:rsidR="395BF8F5" w:rsidRPr="4DBF8B01">
        <w:rPr>
          <w:lang w:val="en-AU" w:eastAsia="en-AU"/>
        </w:rPr>
        <w:t xml:space="preserve">only </w:t>
      </w:r>
      <w:r w:rsidRPr="4DBF8B01">
        <w:rPr>
          <w:lang w:val="en-AU" w:eastAsia="en-AU"/>
        </w:rPr>
        <w:t xml:space="preserve">on </w:t>
      </w:r>
      <w:r w:rsidR="395BF8F5" w:rsidRPr="4DBF8B01">
        <w:rPr>
          <w:lang w:val="en-AU" w:eastAsia="en-AU"/>
        </w:rPr>
        <w:t xml:space="preserve">the composition and labelling requirements of </w:t>
      </w:r>
      <w:r w:rsidRPr="4DBF8B01">
        <w:rPr>
          <w:lang w:val="en-AU" w:eastAsia="en-AU"/>
        </w:rPr>
        <w:t xml:space="preserve">electrolyte drinks. Under P1030, FSANZ committed to considering whether to transfer the regulation of electrolyte drinks from Standard 2.6.2 to Standard 2.9.4 as part of P1010 (see section </w:t>
      </w:r>
      <w:r w:rsidR="00F24DFA" w:rsidRPr="4DBF8B01">
        <w:rPr>
          <w:lang w:val="en-AU" w:eastAsia="en-AU"/>
        </w:rPr>
        <w:t>5</w:t>
      </w:r>
      <w:r w:rsidR="55DCA2F0" w:rsidRPr="4DBF8B01">
        <w:rPr>
          <w:lang w:val="en-AU" w:eastAsia="en-AU"/>
        </w:rPr>
        <w:t xml:space="preserve"> of this consultation paper</w:t>
      </w:r>
      <w:r w:rsidRPr="4DBF8B01">
        <w:rPr>
          <w:lang w:val="en-AU" w:eastAsia="en-AU"/>
        </w:rPr>
        <w:t>).</w:t>
      </w:r>
    </w:p>
    <w:p w14:paraId="50F017F2" w14:textId="1AC04A8C" w:rsidR="00816E2A" w:rsidRDefault="00816E2A" w:rsidP="00324B88">
      <w:pPr>
        <w:pStyle w:val="Heading2"/>
      </w:pPr>
      <w:bookmarkStart w:id="8" w:name="_Toc122602190"/>
      <w:r>
        <w:t xml:space="preserve">Australian and New Zealand </w:t>
      </w:r>
      <w:r w:rsidR="6C7D9F64">
        <w:t xml:space="preserve">Food </w:t>
      </w:r>
      <w:r>
        <w:t>Regulations</w:t>
      </w:r>
      <w:bookmarkEnd w:id="8"/>
    </w:p>
    <w:p w14:paraId="0EA64246" w14:textId="605E2DED" w:rsidR="00816E2A" w:rsidRDefault="00816E2A" w:rsidP="00251931">
      <w:pPr>
        <w:pStyle w:val="Heading3"/>
      </w:pPr>
      <w:bookmarkStart w:id="9" w:name="_Toc122602191"/>
      <w:r>
        <w:t xml:space="preserve">Australian and New Zealand </w:t>
      </w:r>
      <w:r w:rsidR="00BA7333">
        <w:t>Food Laws</w:t>
      </w:r>
      <w:bookmarkEnd w:id="9"/>
    </w:p>
    <w:p w14:paraId="336C5B25" w14:textId="03CA08B7" w:rsidR="00816E2A" w:rsidRDefault="003E2372" w:rsidP="44105A54">
      <w:pPr>
        <w:spacing w:after="160"/>
        <w:rPr>
          <w:lang w:eastAsia="en-AU"/>
        </w:rPr>
      </w:pPr>
      <w:r w:rsidRPr="003E2372">
        <w:rPr>
          <w:rStyle w:val="cf01"/>
          <w:rFonts w:ascii="Arial" w:hAnsi="Arial" w:cs="Arial"/>
          <w:sz w:val="22"/>
          <w:szCs w:val="22"/>
        </w:rPr>
        <w:t>The food standards that comprise the Code are enforced by the Australian state and territory and New Zealand Governments through their individual Food Acts. The</w:t>
      </w:r>
      <w:r>
        <w:rPr>
          <w:rStyle w:val="cf01"/>
          <w:rFonts w:ascii="Arial" w:hAnsi="Arial" w:cs="Arial"/>
          <w:sz w:val="22"/>
          <w:szCs w:val="22"/>
        </w:rPr>
        <w:t>se</w:t>
      </w:r>
      <w:r w:rsidRPr="003E2372">
        <w:rPr>
          <w:rStyle w:val="cf01"/>
          <w:rFonts w:ascii="Arial" w:hAnsi="Arial" w:cs="Arial"/>
          <w:sz w:val="22"/>
          <w:szCs w:val="22"/>
        </w:rPr>
        <w:t xml:space="preserve"> Food Acts require all food sold in Australia and New Zealand to be </w:t>
      </w:r>
      <w:r w:rsidRPr="003E2372">
        <w:rPr>
          <w:rStyle w:val="cf11"/>
          <w:rFonts w:ascii="Arial" w:hAnsi="Arial" w:cs="Arial"/>
          <w:sz w:val="22"/>
          <w:szCs w:val="22"/>
        </w:rPr>
        <w:t>safe</w:t>
      </w:r>
      <w:r w:rsidRPr="003E2372">
        <w:rPr>
          <w:rStyle w:val="cf01"/>
          <w:rFonts w:ascii="Arial" w:hAnsi="Arial" w:cs="Arial"/>
          <w:sz w:val="22"/>
          <w:szCs w:val="22"/>
        </w:rPr>
        <w:t xml:space="preserve"> and </w:t>
      </w:r>
      <w:r w:rsidRPr="003E2372">
        <w:rPr>
          <w:rStyle w:val="cf11"/>
          <w:rFonts w:ascii="Arial" w:hAnsi="Arial" w:cs="Arial"/>
          <w:sz w:val="22"/>
          <w:szCs w:val="22"/>
        </w:rPr>
        <w:t>suitable</w:t>
      </w:r>
      <w:r w:rsidRPr="003E2372">
        <w:rPr>
          <w:rStyle w:val="cf01"/>
          <w:rFonts w:ascii="Arial" w:hAnsi="Arial" w:cs="Arial"/>
          <w:sz w:val="22"/>
          <w:szCs w:val="22"/>
        </w:rPr>
        <w:t xml:space="preserve">. The Food Acts also require food sold in Australia and New Zealand to comply with any relevant standards in the Code (see section </w:t>
      </w:r>
      <w:r w:rsidR="001A474F">
        <w:rPr>
          <w:rStyle w:val="cf01"/>
          <w:rFonts w:ascii="Arial" w:hAnsi="Arial" w:cs="Arial"/>
          <w:sz w:val="22"/>
          <w:szCs w:val="22"/>
        </w:rPr>
        <w:t>2</w:t>
      </w:r>
      <w:r w:rsidRPr="003E2372">
        <w:rPr>
          <w:rStyle w:val="cf01"/>
          <w:rFonts w:ascii="Arial" w:hAnsi="Arial" w:cs="Arial"/>
          <w:sz w:val="22"/>
          <w:szCs w:val="22"/>
        </w:rPr>
        <w:t>.2.5</w:t>
      </w:r>
      <w:r w:rsidR="00807E99">
        <w:rPr>
          <w:rStyle w:val="cf01"/>
          <w:rFonts w:ascii="Arial" w:hAnsi="Arial" w:cs="Arial"/>
          <w:sz w:val="22"/>
          <w:szCs w:val="22"/>
        </w:rPr>
        <w:t xml:space="preserve"> of this consultation paper</w:t>
      </w:r>
      <w:r w:rsidRPr="003E2372">
        <w:rPr>
          <w:rStyle w:val="cf01"/>
          <w:rFonts w:ascii="Arial" w:hAnsi="Arial" w:cs="Arial"/>
          <w:sz w:val="22"/>
          <w:szCs w:val="22"/>
        </w:rPr>
        <w:t>). Failure to comply with these requirements is an offence</w:t>
      </w:r>
      <w:r>
        <w:rPr>
          <w:rStyle w:val="cf01"/>
        </w:rPr>
        <w:t xml:space="preserve">. </w:t>
      </w:r>
    </w:p>
    <w:p w14:paraId="0DFC0E0F" w14:textId="68A0FACC" w:rsidR="00816E2A" w:rsidRDefault="00816E2A" w:rsidP="00251931">
      <w:pPr>
        <w:pStyle w:val="Heading3"/>
      </w:pPr>
      <w:bookmarkStart w:id="10" w:name="_Toc122602192"/>
      <w:r>
        <w:lastRenderedPageBreak/>
        <w:t>Food imported into Australia</w:t>
      </w:r>
      <w:bookmarkEnd w:id="10"/>
    </w:p>
    <w:p w14:paraId="66574E4C" w14:textId="6A2802E9" w:rsidR="00816E2A" w:rsidRPr="00B909EE" w:rsidRDefault="002B125F" w:rsidP="006B18A1">
      <w:pPr>
        <w:spacing w:after="160"/>
        <w:rPr>
          <w:lang w:eastAsia="en-AU"/>
        </w:rPr>
      </w:pPr>
      <w:r w:rsidRPr="002B125F">
        <w:rPr>
          <w:rStyle w:val="cf01"/>
          <w:rFonts w:ascii="Arial" w:hAnsi="Arial" w:cs="Arial"/>
          <w:sz w:val="22"/>
          <w:szCs w:val="22"/>
        </w:rPr>
        <w:t>The Imported Food Control Act 1992 (IFC Act) requires all food imported into Australia to be safe and to comply with the standards that comprise the Code</w:t>
      </w:r>
      <w:r w:rsidR="00475FFC">
        <w:rPr>
          <w:rStyle w:val="cf01"/>
          <w:rFonts w:ascii="Arial" w:hAnsi="Arial" w:cs="Arial"/>
          <w:sz w:val="22"/>
          <w:szCs w:val="22"/>
        </w:rPr>
        <w:t>. U</w:t>
      </w:r>
      <w:r w:rsidR="00816E2A" w:rsidRPr="00B909EE">
        <w:rPr>
          <w:lang w:eastAsia="en-AU"/>
        </w:rPr>
        <w:t>nder the IFC Act, importers are legally responsible for ensuring the foods they import comply with the standards that apply to their products and do not pose a risk to human health.</w:t>
      </w:r>
    </w:p>
    <w:p w14:paraId="3E6395EC" w14:textId="5B6F3D9D" w:rsidR="00816E2A" w:rsidRPr="00B909EE" w:rsidRDefault="00816E2A" w:rsidP="006B18A1">
      <w:pPr>
        <w:spacing w:after="160"/>
        <w:rPr>
          <w:lang w:eastAsia="en-AU"/>
        </w:rPr>
      </w:pPr>
      <w:r w:rsidRPr="44105A54">
        <w:rPr>
          <w:rFonts w:cs="Arial"/>
          <w:lang w:eastAsia="en-AU"/>
        </w:rPr>
        <w:t xml:space="preserve">The IFC Act </w:t>
      </w:r>
      <w:r w:rsidR="002B125F" w:rsidRPr="002B125F">
        <w:rPr>
          <w:rStyle w:val="cf01"/>
          <w:rFonts w:ascii="Arial" w:hAnsi="Arial" w:cs="Arial"/>
          <w:sz w:val="22"/>
          <w:szCs w:val="22"/>
        </w:rPr>
        <w:t>provides for the Imported Food Inspection Scheme (IFIS) which is administered by DAFF.</w:t>
      </w:r>
      <w:r w:rsidRPr="00B909EE">
        <w:rPr>
          <w:lang w:eastAsia="en-AU"/>
        </w:rPr>
        <w:t xml:space="preserve"> The </w:t>
      </w:r>
      <w:r w:rsidRPr="00EF1844">
        <w:rPr>
          <w:i/>
          <w:iCs/>
          <w:lang w:eastAsia="en-AU"/>
        </w:rPr>
        <w:t xml:space="preserve">Imported Food Control Regulations 2019 </w:t>
      </w:r>
      <w:r w:rsidRPr="00B909EE">
        <w:rPr>
          <w:lang w:eastAsia="en-AU"/>
        </w:rPr>
        <w:t xml:space="preserve">sets out how the IFIS operates including the rates that foods are referred for inspection. For the operation of the IFIS, foods are either classified as risk food and are scheduled in the Imported Food Control Order 2019 or are surveillance food. </w:t>
      </w:r>
    </w:p>
    <w:p w14:paraId="784413B5" w14:textId="11183738" w:rsidR="002B125F" w:rsidRDefault="00816E2A" w:rsidP="001B3E47">
      <w:pPr>
        <w:spacing w:after="160"/>
        <w:rPr>
          <w:lang w:eastAsia="en-AU"/>
        </w:rPr>
      </w:pPr>
      <w:r w:rsidRPr="4DBF8B01">
        <w:rPr>
          <w:lang w:eastAsia="en-AU"/>
        </w:rPr>
        <w:t>Orders to classify food are made by the Mini</w:t>
      </w:r>
      <w:r w:rsidR="00ED7D7B">
        <w:rPr>
          <w:lang w:eastAsia="en-AU"/>
        </w:rPr>
        <w:t>ster for Agriculture, Fisheries and Forestry</w:t>
      </w:r>
      <w:r w:rsidRPr="4DBF8B01">
        <w:rPr>
          <w:lang w:eastAsia="en-AU"/>
        </w:rPr>
        <w:t xml:space="preserve"> based on risk advice from FSANZ. Food may be classified as risk food if FSANZ advises that the food has the potential to pose a medium to high risk to public health. </w:t>
      </w:r>
    </w:p>
    <w:p w14:paraId="0EB45943" w14:textId="2BFB904E" w:rsidR="002B125F" w:rsidRDefault="002B125F" w:rsidP="001B3E47">
      <w:pPr>
        <w:spacing w:after="160"/>
        <w:rPr>
          <w:lang w:eastAsia="en-AU"/>
        </w:rPr>
      </w:pPr>
      <w:r>
        <w:rPr>
          <w:lang w:eastAsia="en-AU"/>
        </w:rPr>
        <w:t xml:space="preserve">The IFC and its operation - and that of the IFIS - are outside of FSANZ’s remit and out of scope for P1010.  </w:t>
      </w:r>
    </w:p>
    <w:p w14:paraId="4CC5D2A4" w14:textId="0D16FC96" w:rsidR="00816E2A" w:rsidRDefault="00816E2A" w:rsidP="00251931">
      <w:pPr>
        <w:pStyle w:val="Heading3"/>
      </w:pPr>
      <w:bookmarkStart w:id="11" w:name="_Toc122602193"/>
      <w:r>
        <w:t>Food imported into New Zealand</w:t>
      </w:r>
      <w:bookmarkEnd w:id="11"/>
    </w:p>
    <w:p w14:paraId="6E3B7CAB" w14:textId="7E14E3BF" w:rsidR="00816E2A" w:rsidRDefault="00816E2A" w:rsidP="006B18A1">
      <w:pPr>
        <w:spacing w:after="160"/>
        <w:rPr>
          <w:lang w:eastAsia="en-AU"/>
        </w:rPr>
      </w:pPr>
      <w:r>
        <w:rPr>
          <w:lang w:eastAsia="en-AU"/>
        </w:rPr>
        <w:t xml:space="preserve">Foods imported into New Zealand are subject to requirements of the </w:t>
      </w:r>
      <w:r w:rsidRPr="002B32EE">
        <w:rPr>
          <w:i/>
          <w:iCs/>
          <w:lang w:eastAsia="en-AU"/>
        </w:rPr>
        <w:t>Food Act 2014</w:t>
      </w:r>
      <w:r>
        <w:rPr>
          <w:lang w:eastAsia="en-AU"/>
        </w:rPr>
        <w:t xml:space="preserve"> (the Food Act) and the </w:t>
      </w:r>
      <w:r w:rsidRPr="001945D5">
        <w:rPr>
          <w:i/>
          <w:iCs/>
          <w:lang w:eastAsia="en-AU"/>
        </w:rPr>
        <w:t>Food Regulations 2015</w:t>
      </w:r>
      <w:r>
        <w:rPr>
          <w:lang w:eastAsia="en-AU"/>
        </w:rPr>
        <w:t xml:space="preserve"> (the Food Regulations)</w:t>
      </w:r>
      <w:r w:rsidR="00382887">
        <w:rPr>
          <w:lang w:eastAsia="en-AU"/>
        </w:rPr>
        <w:t>, which include comply</w:t>
      </w:r>
      <w:r w:rsidR="00046DCA">
        <w:rPr>
          <w:lang w:eastAsia="en-AU"/>
        </w:rPr>
        <w:t>ing</w:t>
      </w:r>
      <w:r w:rsidR="00382887">
        <w:rPr>
          <w:lang w:eastAsia="en-AU"/>
        </w:rPr>
        <w:t xml:space="preserve"> with the Code</w:t>
      </w:r>
      <w:r>
        <w:rPr>
          <w:lang w:eastAsia="en-AU"/>
        </w:rPr>
        <w:t>. The Food Regulations set out two categories (High Regulatory Interest Food and Increased Regulatory Interest Food) that may require written clearance for entry into New Zealand. Food not in one of these two categories does not require clearance.</w:t>
      </w:r>
      <w:r w:rsidR="009D5627">
        <w:br/>
      </w:r>
      <w:r w:rsidR="009D5627">
        <w:br/>
      </w:r>
      <w:r w:rsidR="009D5627">
        <w:rPr>
          <w:lang w:eastAsia="en-AU"/>
        </w:rPr>
        <w:t>The Food Act 2014 and regulations are outside of FSANZ’s remit and out of scope for P1010.</w:t>
      </w:r>
    </w:p>
    <w:p w14:paraId="1EF23EE2" w14:textId="7EAA9897" w:rsidR="00816E2A" w:rsidRDefault="00816E2A" w:rsidP="00251931">
      <w:pPr>
        <w:pStyle w:val="Heading3"/>
      </w:pPr>
      <w:bookmarkStart w:id="12" w:name="_Toc122602194"/>
      <w:r>
        <w:t>Food Standards Australia New Zealand Act 1991</w:t>
      </w:r>
      <w:bookmarkEnd w:id="12"/>
    </w:p>
    <w:p w14:paraId="7C55655C" w14:textId="77777777" w:rsidR="00816E2A" w:rsidRDefault="00816E2A" w:rsidP="006B18A1">
      <w:pPr>
        <w:spacing w:after="160"/>
        <w:rPr>
          <w:lang w:eastAsia="en-AU"/>
        </w:rPr>
      </w:pPr>
      <w:r>
        <w:rPr>
          <w:lang w:eastAsia="en-AU"/>
        </w:rPr>
        <w:t xml:space="preserve">The FSANZ Act sets out the process for developing and amending food standards for Australia and New Zealand. </w:t>
      </w:r>
    </w:p>
    <w:p w14:paraId="731E77D9" w14:textId="77777777" w:rsidR="00816E2A" w:rsidRDefault="00816E2A" w:rsidP="006B18A1">
      <w:pPr>
        <w:autoSpaceDE w:val="0"/>
        <w:autoSpaceDN w:val="0"/>
        <w:adjustRightInd w:val="0"/>
        <w:spacing w:after="160"/>
        <w:rPr>
          <w:color w:val="000000"/>
          <w:lang w:val="en-AU"/>
        </w:rPr>
      </w:pPr>
      <w:r w:rsidRPr="00F84E7B">
        <w:rPr>
          <w:color w:val="000000"/>
          <w:lang w:val="en-AU"/>
        </w:rPr>
        <w:t xml:space="preserve">Section 18 of the FSANZ Act sets out the three primary objectives, in descending order of priority, that FSANZ is required to consider in developing or varying a food standard. These are: </w:t>
      </w:r>
    </w:p>
    <w:p w14:paraId="6683665C" w14:textId="77777777" w:rsidR="00816E2A" w:rsidRPr="00F90C7C" w:rsidRDefault="00816E2A" w:rsidP="00816E2A">
      <w:pPr>
        <w:autoSpaceDE w:val="0"/>
        <w:autoSpaceDN w:val="0"/>
        <w:adjustRightInd w:val="0"/>
        <w:rPr>
          <w:color w:val="000000"/>
          <w:lang w:val="en-AU"/>
        </w:rPr>
      </w:pPr>
      <w:r w:rsidRPr="00F90C7C">
        <w:rPr>
          <w:color w:val="000000"/>
          <w:lang w:val="en-AU"/>
        </w:rPr>
        <w:t xml:space="preserve">(a) the protection of public health and safety; </w:t>
      </w:r>
    </w:p>
    <w:p w14:paraId="59FABCF3" w14:textId="77777777" w:rsidR="00816E2A" w:rsidRPr="00F90C7C" w:rsidRDefault="00816E2A" w:rsidP="00816E2A">
      <w:pPr>
        <w:autoSpaceDE w:val="0"/>
        <w:autoSpaceDN w:val="0"/>
        <w:adjustRightInd w:val="0"/>
        <w:rPr>
          <w:color w:val="000000"/>
          <w:lang w:val="en-AU"/>
        </w:rPr>
      </w:pPr>
      <w:r w:rsidRPr="00F90C7C">
        <w:rPr>
          <w:color w:val="000000"/>
          <w:lang w:val="en-AU"/>
        </w:rPr>
        <w:t xml:space="preserve">(b) the provision of adequate information relating to food to enable consumers to make informed choices; and </w:t>
      </w:r>
    </w:p>
    <w:p w14:paraId="032F94D7" w14:textId="77777777" w:rsidR="00816E2A" w:rsidRPr="00F90C7C" w:rsidRDefault="00816E2A" w:rsidP="00816E2A">
      <w:pPr>
        <w:autoSpaceDE w:val="0"/>
        <w:autoSpaceDN w:val="0"/>
        <w:adjustRightInd w:val="0"/>
        <w:rPr>
          <w:color w:val="000000"/>
          <w:lang w:val="en-AU"/>
        </w:rPr>
      </w:pPr>
      <w:r w:rsidRPr="00F90C7C">
        <w:rPr>
          <w:color w:val="000000"/>
          <w:lang w:val="en-AU"/>
        </w:rPr>
        <w:t xml:space="preserve">(c) the prevention of misleading or deceptive conduct. </w:t>
      </w:r>
    </w:p>
    <w:p w14:paraId="536DB86C" w14:textId="77777777" w:rsidR="00816E2A" w:rsidRPr="00F84E7B" w:rsidRDefault="00816E2A" w:rsidP="00816E2A">
      <w:pPr>
        <w:pStyle w:val="ListParagraph"/>
        <w:autoSpaceDE w:val="0"/>
        <w:autoSpaceDN w:val="0"/>
        <w:adjustRightInd w:val="0"/>
        <w:spacing w:after="0" w:line="240" w:lineRule="auto"/>
        <w:rPr>
          <w:color w:val="000000"/>
          <w:lang w:val="en-AU"/>
        </w:rPr>
      </w:pPr>
    </w:p>
    <w:p w14:paraId="3348E98B" w14:textId="4E18D24D" w:rsidR="00816E2A" w:rsidRPr="00F84E7B" w:rsidRDefault="0061600A" w:rsidP="00A24676">
      <w:pPr>
        <w:widowControl/>
        <w:autoSpaceDE w:val="0"/>
        <w:autoSpaceDN w:val="0"/>
        <w:adjustRightInd w:val="0"/>
        <w:spacing w:after="160"/>
        <w:rPr>
          <w:color w:val="000000"/>
          <w:lang w:val="en-AU"/>
        </w:rPr>
      </w:pPr>
      <w:r w:rsidRPr="44105A54">
        <w:rPr>
          <w:color w:val="000000" w:themeColor="text1"/>
          <w:lang w:val="en-AU"/>
        </w:rPr>
        <w:t xml:space="preserve">Section 18 also provides that, when </w:t>
      </w:r>
      <w:r w:rsidR="00816E2A" w:rsidRPr="44105A54">
        <w:rPr>
          <w:color w:val="000000" w:themeColor="text1"/>
          <w:lang w:val="en-AU"/>
        </w:rPr>
        <w:t xml:space="preserve">developing and varying standards, FSANZ must also have regard to: </w:t>
      </w:r>
    </w:p>
    <w:p w14:paraId="0F344FF7" w14:textId="77777777" w:rsidR="00816E2A" w:rsidRPr="00F90C7C" w:rsidRDefault="00816E2A" w:rsidP="00A24676">
      <w:pPr>
        <w:widowControl/>
        <w:autoSpaceDE w:val="0"/>
        <w:autoSpaceDN w:val="0"/>
        <w:adjustRightInd w:val="0"/>
        <w:rPr>
          <w:color w:val="000000"/>
          <w:lang w:val="en-AU"/>
        </w:rPr>
      </w:pPr>
      <w:r w:rsidRPr="00F90C7C">
        <w:rPr>
          <w:color w:val="000000"/>
          <w:lang w:val="en-AU"/>
        </w:rPr>
        <w:t xml:space="preserve">(a) the need for standards to be based on risk analysis using the best available scientific evidence; </w:t>
      </w:r>
    </w:p>
    <w:p w14:paraId="64EC81BB" w14:textId="77777777" w:rsidR="00816E2A" w:rsidRPr="00F90C7C" w:rsidRDefault="00816E2A" w:rsidP="00A24676">
      <w:pPr>
        <w:widowControl/>
        <w:autoSpaceDE w:val="0"/>
        <w:autoSpaceDN w:val="0"/>
        <w:adjustRightInd w:val="0"/>
        <w:rPr>
          <w:color w:val="000000"/>
          <w:lang w:val="en-AU"/>
        </w:rPr>
      </w:pPr>
      <w:r w:rsidRPr="00F90C7C">
        <w:rPr>
          <w:color w:val="000000"/>
          <w:lang w:val="en-AU"/>
        </w:rPr>
        <w:t xml:space="preserve">(b) the promotion of consistency between domestic and international food standards; </w:t>
      </w:r>
    </w:p>
    <w:p w14:paraId="6039DC51" w14:textId="77777777" w:rsidR="00816E2A" w:rsidRPr="00F90C7C" w:rsidRDefault="00816E2A" w:rsidP="00A24676">
      <w:pPr>
        <w:widowControl/>
        <w:autoSpaceDE w:val="0"/>
        <w:autoSpaceDN w:val="0"/>
        <w:adjustRightInd w:val="0"/>
        <w:rPr>
          <w:color w:val="000000"/>
          <w:lang w:val="en-AU"/>
        </w:rPr>
      </w:pPr>
      <w:r w:rsidRPr="00F90C7C">
        <w:rPr>
          <w:color w:val="000000"/>
          <w:lang w:val="en-AU"/>
        </w:rPr>
        <w:t xml:space="preserve">(c) the desirability of an efficient and internationally competitive food industry; </w:t>
      </w:r>
    </w:p>
    <w:p w14:paraId="26C5F328" w14:textId="77777777" w:rsidR="00816E2A" w:rsidRPr="00F90C7C" w:rsidRDefault="00816E2A" w:rsidP="00A24676">
      <w:pPr>
        <w:widowControl/>
        <w:autoSpaceDE w:val="0"/>
        <w:autoSpaceDN w:val="0"/>
        <w:adjustRightInd w:val="0"/>
        <w:rPr>
          <w:color w:val="000000"/>
          <w:lang w:val="en-AU"/>
        </w:rPr>
      </w:pPr>
      <w:r w:rsidRPr="00F90C7C">
        <w:rPr>
          <w:color w:val="000000"/>
          <w:lang w:val="en-AU"/>
        </w:rPr>
        <w:t xml:space="preserve">(d) the promotion of fair trading in food; and </w:t>
      </w:r>
    </w:p>
    <w:p w14:paraId="08F62A66" w14:textId="46EC3ABB" w:rsidR="0061600A" w:rsidRDefault="00816E2A" w:rsidP="00A24676">
      <w:pPr>
        <w:widowControl/>
        <w:autoSpaceDE w:val="0"/>
        <w:autoSpaceDN w:val="0"/>
        <w:adjustRightInd w:val="0"/>
        <w:spacing w:after="160"/>
        <w:rPr>
          <w:color w:val="000000"/>
          <w:lang w:val="en-AU"/>
        </w:rPr>
      </w:pPr>
      <w:r w:rsidRPr="00F90C7C">
        <w:rPr>
          <w:color w:val="000000"/>
          <w:lang w:val="en-AU"/>
        </w:rPr>
        <w:t>(e) any written policy guidelines formulated by the Australia and New Zealand Food Regulation Ministerial Council</w:t>
      </w:r>
      <w:r>
        <w:rPr>
          <w:rStyle w:val="FootnoteReference"/>
          <w:color w:val="000000"/>
          <w:lang w:val="en-AU"/>
        </w:rPr>
        <w:footnoteReference w:id="2"/>
      </w:r>
      <w:r w:rsidRPr="00F90C7C">
        <w:rPr>
          <w:color w:val="000000"/>
          <w:lang w:val="en-AU"/>
        </w:rPr>
        <w:t>.</w:t>
      </w:r>
    </w:p>
    <w:p w14:paraId="68ACE043" w14:textId="0ED34147" w:rsidR="0061600A" w:rsidRDefault="0061600A" w:rsidP="006B18A1">
      <w:pPr>
        <w:autoSpaceDE w:val="0"/>
        <w:autoSpaceDN w:val="0"/>
        <w:adjustRightInd w:val="0"/>
        <w:spacing w:after="160"/>
        <w:rPr>
          <w:color w:val="000000"/>
          <w:lang w:val="en-AU"/>
        </w:rPr>
      </w:pPr>
      <w:r w:rsidRPr="44105A54">
        <w:rPr>
          <w:color w:val="000000" w:themeColor="text1"/>
          <w:lang w:val="en-AU"/>
        </w:rPr>
        <w:lastRenderedPageBreak/>
        <w:t xml:space="preserve">Section 59 of the FSANZ Act </w:t>
      </w:r>
      <w:r w:rsidR="003E09A0" w:rsidRPr="44105A54">
        <w:rPr>
          <w:color w:val="000000" w:themeColor="text1"/>
          <w:lang w:val="en-AU"/>
        </w:rPr>
        <w:t>provides that, in assessing a proposal (such as P1010), FSANZ must have regard to the matters:</w:t>
      </w:r>
    </w:p>
    <w:p w14:paraId="6E59C4CC" w14:textId="56274EE6" w:rsidR="003E09A0" w:rsidRPr="003E09A0" w:rsidRDefault="003E09A0" w:rsidP="00E95FD6">
      <w:pPr>
        <w:pStyle w:val="paragraph"/>
        <w:shd w:val="clear" w:color="auto" w:fill="FFFFFF" w:themeFill="background1"/>
        <w:spacing w:before="0" w:beforeAutospacing="0" w:after="0" w:afterAutospacing="0"/>
        <w:rPr>
          <w:rFonts w:ascii="Arial" w:hAnsi="Arial" w:cs="Arial"/>
          <w:color w:val="333333"/>
          <w:sz w:val="22"/>
          <w:szCs w:val="22"/>
        </w:rPr>
      </w:pPr>
      <w:r w:rsidRPr="003E09A0">
        <w:rPr>
          <w:rFonts w:ascii="Arial" w:hAnsi="Arial" w:cs="Arial"/>
          <w:color w:val="333333"/>
          <w:sz w:val="22"/>
          <w:szCs w:val="22"/>
        </w:rPr>
        <w:t xml:space="preserve">(a)  whether costs that would arise from </w:t>
      </w:r>
      <w:r w:rsidR="0079682D">
        <w:rPr>
          <w:rFonts w:ascii="Arial" w:hAnsi="Arial" w:cs="Arial"/>
          <w:color w:val="333333"/>
          <w:sz w:val="22"/>
          <w:szCs w:val="22"/>
        </w:rPr>
        <w:t xml:space="preserve">a food regulatory measure (such as </w:t>
      </w:r>
      <w:r>
        <w:rPr>
          <w:rFonts w:ascii="Arial" w:hAnsi="Arial" w:cs="Arial"/>
          <w:color w:val="333333"/>
          <w:sz w:val="22"/>
          <w:szCs w:val="22"/>
        </w:rPr>
        <w:t>a Standard or variation to the Code</w:t>
      </w:r>
      <w:r w:rsidR="0079682D">
        <w:rPr>
          <w:rFonts w:ascii="Arial" w:hAnsi="Arial" w:cs="Arial"/>
          <w:color w:val="333333"/>
          <w:sz w:val="22"/>
          <w:szCs w:val="22"/>
        </w:rPr>
        <w:t xml:space="preserve">) developed </w:t>
      </w:r>
      <w:r w:rsidRPr="003E09A0">
        <w:rPr>
          <w:rFonts w:ascii="Arial" w:hAnsi="Arial" w:cs="Arial"/>
          <w:color w:val="333333"/>
          <w:sz w:val="22"/>
          <w:szCs w:val="22"/>
        </w:rPr>
        <w:t>as a result of the proposal outweigh the direct and indirect benefits to the community, Government or industry that would arise from the </w:t>
      </w:r>
      <w:hyperlink r:id="rId20" w:anchor="develop" w:history="1">
        <w:r w:rsidRPr="003E09A0">
          <w:rPr>
            <w:rStyle w:val="Hyperlink"/>
            <w:rFonts w:cs="Arial"/>
            <w:color w:val="3796CC"/>
            <w:sz w:val="22"/>
            <w:szCs w:val="22"/>
          </w:rPr>
          <w:t>development</w:t>
        </w:r>
      </w:hyperlink>
      <w:r w:rsidRPr="003E09A0">
        <w:rPr>
          <w:rFonts w:ascii="Arial" w:hAnsi="Arial" w:cs="Arial"/>
          <w:color w:val="333333"/>
          <w:sz w:val="22"/>
          <w:szCs w:val="22"/>
        </w:rPr>
        <w:t> or variation of the </w:t>
      </w:r>
      <w:hyperlink r:id="rId21" w:anchor="food_regulatory_measure" w:history="1">
        <w:r w:rsidRPr="003E09A0">
          <w:rPr>
            <w:rStyle w:val="Hyperlink"/>
            <w:rFonts w:cs="Arial"/>
            <w:color w:val="3796CC"/>
            <w:sz w:val="22"/>
            <w:szCs w:val="22"/>
          </w:rPr>
          <w:t>food regulatory measure</w:t>
        </w:r>
      </w:hyperlink>
      <w:r w:rsidRPr="003E09A0">
        <w:rPr>
          <w:rFonts w:ascii="Arial" w:hAnsi="Arial" w:cs="Arial"/>
          <w:color w:val="333333"/>
          <w:sz w:val="22"/>
          <w:szCs w:val="22"/>
        </w:rPr>
        <w:t>;</w:t>
      </w:r>
    </w:p>
    <w:p w14:paraId="04DFBBD3" w14:textId="0A3D1ACB" w:rsidR="003E09A0" w:rsidRPr="003E09A0" w:rsidRDefault="003E09A0" w:rsidP="00E95FD6">
      <w:pPr>
        <w:pStyle w:val="paragraph"/>
        <w:shd w:val="clear" w:color="auto" w:fill="FFFFFF" w:themeFill="background1"/>
        <w:spacing w:before="0" w:beforeAutospacing="0" w:after="0" w:afterAutospacing="0"/>
        <w:rPr>
          <w:rFonts w:ascii="Arial" w:hAnsi="Arial" w:cs="Arial"/>
          <w:color w:val="333333"/>
          <w:sz w:val="22"/>
          <w:szCs w:val="22"/>
        </w:rPr>
      </w:pPr>
      <w:bookmarkStart w:id="13" w:name="paragraph"/>
      <w:r w:rsidRPr="003E09A0">
        <w:rPr>
          <w:rFonts w:ascii="Arial" w:hAnsi="Arial" w:cs="Arial"/>
          <w:color w:val="333333"/>
          <w:sz w:val="22"/>
          <w:szCs w:val="22"/>
        </w:rPr>
        <w:t xml:space="preserve">(b)  whether </w:t>
      </w:r>
      <w:r w:rsidR="0079682D">
        <w:rPr>
          <w:rFonts w:ascii="Arial" w:hAnsi="Arial" w:cs="Arial"/>
          <w:color w:val="333333"/>
          <w:sz w:val="22"/>
          <w:szCs w:val="22"/>
        </w:rPr>
        <w:t xml:space="preserve">other </w:t>
      </w:r>
      <w:r w:rsidRPr="003E09A0">
        <w:rPr>
          <w:rFonts w:ascii="Arial" w:hAnsi="Arial" w:cs="Arial"/>
          <w:color w:val="333333"/>
          <w:sz w:val="22"/>
          <w:szCs w:val="22"/>
        </w:rPr>
        <w:t>measures</w:t>
      </w:r>
      <w:r>
        <w:rPr>
          <w:rFonts w:ascii="Arial" w:hAnsi="Arial" w:cs="Arial"/>
          <w:color w:val="333333"/>
          <w:sz w:val="22"/>
          <w:szCs w:val="22"/>
        </w:rPr>
        <w:t xml:space="preserve"> </w:t>
      </w:r>
      <w:r w:rsidR="0079682D">
        <w:rPr>
          <w:rFonts w:ascii="Arial" w:hAnsi="Arial" w:cs="Arial"/>
          <w:color w:val="333333"/>
          <w:sz w:val="22"/>
          <w:szCs w:val="22"/>
        </w:rPr>
        <w:t xml:space="preserve">(whether available to </w:t>
      </w:r>
      <w:r w:rsidR="00AE78AE">
        <w:rPr>
          <w:rFonts w:ascii="Arial" w:hAnsi="Arial" w:cs="Arial"/>
          <w:color w:val="333333"/>
          <w:sz w:val="22"/>
          <w:szCs w:val="22"/>
        </w:rPr>
        <w:t>FSANZ or not)</w:t>
      </w:r>
      <w:r w:rsidRPr="003E09A0">
        <w:rPr>
          <w:rFonts w:ascii="Arial" w:hAnsi="Arial" w:cs="Arial"/>
          <w:color w:val="333333"/>
          <w:sz w:val="22"/>
          <w:szCs w:val="22"/>
        </w:rPr>
        <w:t xml:space="preserve"> would be more cost-effective than a </w:t>
      </w:r>
      <w:hyperlink r:id="rId22" w:anchor="food_regulatory_measure" w:history="1">
        <w:r w:rsidRPr="003E09A0">
          <w:rPr>
            <w:rStyle w:val="Hyperlink"/>
            <w:rFonts w:cs="Arial"/>
            <w:color w:val="3796CC"/>
            <w:sz w:val="22"/>
            <w:szCs w:val="22"/>
          </w:rPr>
          <w:t>food regulatory measure</w:t>
        </w:r>
      </w:hyperlink>
      <w:r w:rsidRPr="003E09A0">
        <w:rPr>
          <w:rFonts w:ascii="Arial" w:hAnsi="Arial" w:cs="Arial"/>
          <w:color w:val="333333"/>
          <w:sz w:val="22"/>
          <w:szCs w:val="22"/>
        </w:rPr>
        <w:t> </w:t>
      </w:r>
      <w:hyperlink r:id="rId23" w:anchor="develop" w:history="1">
        <w:r w:rsidRPr="003E09A0">
          <w:rPr>
            <w:rStyle w:val="Hyperlink"/>
            <w:rFonts w:cs="Arial"/>
            <w:color w:val="3796CC"/>
            <w:sz w:val="22"/>
            <w:szCs w:val="22"/>
          </w:rPr>
          <w:t>developed</w:t>
        </w:r>
      </w:hyperlink>
      <w:r w:rsidRPr="003E09A0">
        <w:rPr>
          <w:rFonts w:ascii="Arial" w:hAnsi="Arial" w:cs="Arial"/>
          <w:color w:val="333333"/>
          <w:sz w:val="22"/>
          <w:szCs w:val="22"/>
        </w:rPr>
        <w:t> or varied as a result of the proposal;</w:t>
      </w:r>
    </w:p>
    <w:p w14:paraId="16354EEB" w14:textId="1A7A9BBC" w:rsidR="003E09A0" w:rsidRPr="003E09A0" w:rsidRDefault="003E09A0" w:rsidP="00E95FD6">
      <w:pPr>
        <w:pStyle w:val="paragraph"/>
        <w:shd w:val="clear" w:color="auto" w:fill="FFFFFF" w:themeFill="background1"/>
        <w:spacing w:before="0" w:beforeAutospacing="0" w:after="0" w:afterAutospacing="0"/>
        <w:rPr>
          <w:rFonts w:ascii="Arial" w:hAnsi="Arial" w:cs="Arial"/>
          <w:color w:val="333333"/>
          <w:sz w:val="22"/>
          <w:szCs w:val="22"/>
        </w:rPr>
      </w:pPr>
      <w:r w:rsidRPr="003E09A0">
        <w:rPr>
          <w:rFonts w:ascii="Arial" w:hAnsi="Arial" w:cs="Arial"/>
          <w:color w:val="333333"/>
          <w:sz w:val="22"/>
          <w:szCs w:val="22"/>
        </w:rPr>
        <w:t>(c)  any relevant New Zealand </w:t>
      </w:r>
      <w:hyperlink r:id="rId24" w:anchor="standard" w:history="1">
        <w:r w:rsidRPr="003E09A0">
          <w:rPr>
            <w:rStyle w:val="Hyperlink"/>
            <w:rFonts w:cs="Arial"/>
            <w:color w:val="3796CC"/>
            <w:sz w:val="22"/>
            <w:szCs w:val="22"/>
          </w:rPr>
          <w:t>standards</w:t>
        </w:r>
      </w:hyperlink>
      <w:r w:rsidRPr="003E09A0">
        <w:rPr>
          <w:rFonts w:ascii="Arial" w:hAnsi="Arial" w:cs="Arial"/>
          <w:color w:val="333333"/>
          <w:sz w:val="22"/>
          <w:szCs w:val="22"/>
        </w:rPr>
        <w:t>;</w:t>
      </w:r>
    </w:p>
    <w:bookmarkEnd w:id="13"/>
    <w:p w14:paraId="6E9AF8DC" w14:textId="0771D4A5" w:rsidR="003E09A0" w:rsidRPr="00AE78AE" w:rsidRDefault="003E09A0" w:rsidP="44105A54">
      <w:pPr>
        <w:pStyle w:val="paragraph"/>
        <w:shd w:val="clear" w:color="auto" w:fill="FFFFFF" w:themeFill="background1"/>
        <w:spacing w:before="0" w:beforeAutospacing="0" w:after="180" w:afterAutospacing="0"/>
        <w:rPr>
          <w:rFonts w:ascii="Arial" w:hAnsi="Arial" w:cs="Arial"/>
          <w:color w:val="333333"/>
          <w:sz w:val="22"/>
          <w:szCs w:val="22"/>
        </w:rPr>
      </w:pPr>
      <w:r w:rsidRPr="003E09A0">
        <w:rPr>
          <w:rFonts w:ascii="Arial" w:hAnsi="Arial" w:cs="Arial"/>
          <w:color w:val="333333"/>
          <w:sz w:val="22"/>
          <w:szCs w:val="22"/>
        </w:rPr>
        <w:t>(d)  any other relevant matters.</w:t>
      </w:r>
      <w:r>
        <w:rPr>
          <w:rFonts w:ascii="Arial" w:hAnsi="Arial" w:cs="Arial"/>
          <w:color w:val="333333"/>
          <w:sz w:val="22"/>
          <w:szCs w:val="22"/>
        </w:rPr>
        <w:t xml:space="preserve"> The latter include the objectives listed in section 18.</w:t>
      </w:r>
    </w:p>
    <w:p w14:paraId="2EF2C08D" w14:textId="6E494A7B" w:rsidR="00816E2A" w:rsidRDefault="00816E2A" w:rsidP="00251931">
      <w:pPr>
        <w:pStyle w:val="Heading3"/>
      </w:pPr>
      <w:bookmarkStart w:id="14" w:name="_Toc122602195"/>
      <w:r>
        <w:t>Australia New Zealand Food Standards Code (the Code)</w:t>
      </w:r>
      <w:bookmarkEnd w:id="14"/>
    </w:p>
    <w:p w14:paraId="093D64AA" w14:textId="06D8B454" w:rsidR="00816E2A" w:rsidRDefault="00816E2A" w:rsidP="006B18A1">
      <w:pPr>
        <w:spacing w:after="160"/>
        <w:rPr>
          <w:lang w:eastAsia="en-AU"/>
        </w:rPr>
      </w:pPr>
      <w:r w:rsidRPr="273439B9">
        <w:rPr>
          <w:lang w:eastAsia="en-AU"/>
        </w:rPr>
        <w:t xml:space="preserve">As stated in section </w:t>
      </w:r>
      <w:r w:rsidR="001A474F">
        <w:rPr>
          <w:lang w:eastAsia="en-AU"/>
        </w:rPr>
        <w:t>2</w:t>
      </w:r>
      <w:r w:rsidRPr="273439B9">
        <w:rPr>
          <w:lang w:eastAsia="en-AU"/>
        </w:rPr>
        <w:t>.2.1</w:t>
      </w:r>
      <w:r w:rsidR="00807E99">
        <w:rPr>
          <w:lang w:eastAsia="en-AU"/>
        </w:rPr>
        <w:t xml:space="preserve"> of this consultation paper</w:t>
      </w:r>
      <w:r w:rsidRPr="273439B9">
        <w:rPr>
          <w:lang w:eastAsia="en-AU"/>
        </w:rPr>
        <w:t>, foods sold in Australia and New Zealand</w:t>
      </w:r>
      <w:r w:rsidR="2AB3BBEC" w:rsidRPr="273439B9">
        <w:rPr>
          <w:lang w:eastAsia="en-AU"/>
        </w:rPr>
        <w:t xml:space="preserve"> </w:t>
      </w:r>
      <w:r w:rsidRPr="273439B9">
        <w:rPr>
          <w:lang w:eastAsia="en-AU"/>
        </w:rPr>
        <w:t>must comply with relevant Australian state or territory or New Zealand food laws, which, among other things, require compliance with the Code.</w:t>
      </w:r>
    </w:p>
    <w:p w14:paraId="134B7CAA" w14:textId="10B9DF82" w:rsidR="00816E2A" w:rsidRDefault="132F9243" w:rsidP="006B18A1">
      <w:pPr>
        <w:spacing w:after="160"/>
        <w:rPr>
          <w:rFonts w:eastAsia="Arial"/>
        </w:rPr>
      </w:pPr>
      <w:r>
        <w:rPr>
          <w:lang w:eastAsia="en-AU"/>
        </w:rPr>
        <w:t xml:space="preserve">The scope of Proposal P1010 is solely on the regulation of </w:t>
      </w:r>
      <w:r w:rsidR="00ED334E">
        <w:rPr>
          <w:lang w:eastAsia="en-AU"/>
        </w:rPr>
        <w:t xml:space="preserve">sports foods </w:t>
      </w:r>
      <w:r>
        <w:rPr>
          <w:lang w:eastAsia="en-AU"/>
        </w:rPr>
        <w:t>under the Code.</w:t>
      </w:r>
      <w:r w:rsidRPr="0E77EA93">
        <w:rPr>
          <w:lang w:eastAsia="en-AU"/>
        </w:rPr>
        <w:t xml:space="preserve"> </w:t>
      </w:r>
      <w:r w:rsidR="00ED334E">
        <w:rPr>
          <w:lang w:eastAsia="en-AU"/>
        </w:rPr>
        <w:t xml:space="preserve">Sports foods </w:t>
      </w:r>
      <w:r>
        <w:rPr>
          <w:lang w:eastAsia="en-AU"/>
        </w:rPr>
        <w:t>sold</w:t>
      </w:r>
      <w:r w:rsidRPr="0E77EA93">
        <w:rPr>
          <w:lang w:eastAsia="en-AU"/>
        </w:rPr>
        <w:t xml:space="preserve"> </w:t>
      </w:r>
      <w:r>
        <w:rPr>
          <w:lang w:eastAsia="en-AU"/>
        </w:rPr>
        <w:t xml:space="preserve">in Australia and New Zealand must meet </w:t>
      </w:r>
      <w:r w:rsidRPr="0E77EA93">
        <w:rPr>
          <w:lang w:eastAsia="en-AU"/>
        </w:rPr>
        <w:t>the composition and labelling requirements</w:t>
      </w:r>
      <w:r>
        <w:rPr>
          <w:lang w:eastAsia="en-AU"/>
        </w:rPr>
        <w:t xml:space="preserve"> of general foods</w:t>
      </w:r>
      <w:r w:rsidR="7FCEFF74">
        <w:rPr>
          <w:lang w:eastAsia="en-AU"/>
        </w:rPr>
        <w:t xml:space="preserve"> </w:t>
      </w:r>
      <w:r>
        <w:rPr>
          <w:lang w:eastAsia="en-AU"/>
        </w:rPr>
        <w:t>set out</w:t>
      </w:r>
      <w:r w:rsidRPr="0E77EA93">
        <w:rPr>
          <w:lang w:eastAsia="en-AU"/>
        </w:rPr>
        <w:t xml:space="preserve"> </w:t>
      </w:r>
      <w:r>
        <w:rPr>
          <w:lang w:eastAsia="en-AU"/>
        </w:rPr>
        <w:t>in</w:t>
      </w:r>
      <w:r w:rsidRPr="0E77EA93">
        <w:rPr>
          <w:lang w:eastAsia="en-AU"/>
        </w:rPr>
        <w:t xml:space="preserve"> </w:t>
      </w:r>
      <w:r>
        <w:rPr>
          <w:lang w:eastAsia="en-AU"/>
        </w:rPr>
        <w:t xml:space="preserve">the Code </w:t>
      </w:r>
      <w:r w:rsidR="537678A7">
        <w:rPr>
          <w:lang w:eastAsia="en-AU"/>
        </w:rPr>
        <w:t xml:space="preserve">where applicable </w:t>
      </w:r>
      <w:r>
        <w:rPr>
          <w:lang w:eastAsia="en-AU"/>
        </w:rPr>
        <w:t xml:space="preserve">as well as the specific provisions in </w:t>
      </w:r>
      <w:r w:rsidRPr="0E77EA93">
        <w:rPr>
          <w:lang w:eastAsia="en-AU"/>
        </w:rPr>
        <w:t xml:space="preserve">Standard 2.9.4 and Schedule 29. </w:t>
      </w:r>
      <w:r w:rsidRPr="00B909EE">
        <w:rPr>
          <w:lang w:eastAsia="en-AU"/>
        </w:rPr>
        <w:t>The former include the requirement</w:t>
      </w:r>
      <w:r>
        <w:rPr>
          <w:lang w:eastAsia="en-AU"/>
        </w:rPr>
        <w:t xml:space="preserve">s in </w:t>
      </w:r>
      <w:r w:rsidR="56950343">
        <w:rPr>
          <w:rFonts w:eastAsia="Arial"/>
        </w:rPr>
        <w:t>subsection</w:t>
      </w:r>
      <w:r w:rsidR="56950343" w:rsidRPr="02CFA273">
        <w:rPr>
          <w:rFonts w:eastAsia="Arial"/>
        </w:rPr>
        <w:t xml:space="preserve">s </w:t>
      </w:r>
      <w:r w:rsidRPr="02CFA273">
        <w:rPr>
          <w:rFonts w:eastAsia="Arial"/>
        </w:rPr>
        <w:t>1.1.1—10(5</w:t>
      </w:r>
      <w:r w:rsidRPr="02CFA273" w:rsidDel="006C0D88">
        <w:rPr>
          <w:rFonts w:eastAsia="Arial"/>
        </w:rPr>
        <w:t>)</w:t>
      </w:r>
      <w:r w:rsidDel="006C0D88">
        <w:rPr>
          <w:rFonts w:eastAsia="Arial"/>
        </w:rPr>
        <w:t xml:space="preserve"> and</w:t>
      </w:r>
      <w:r w:rsidRPr="02CFA273" w:rsidDel="006C0D88">
        <w:rPr>
          <w:rFonts w:eastAsia="Arial"/>
        </w:rPr>
        <w:t xml:space="preserve"> </w:t>
      </w:r>
      <w:r w:rsidRPr="02CFA273">
        <w:rPr>
          <w:rFonts w:eastAsia="Arial"/>
        </w:rPr>
        <w:t>1.1.1—10(6</w:t>
      </w:r>
      <w:r w:rsidRPr="02CFA273" w:rsidDel="006C0D88">
        <w:rPr>
          <w:rFonts w:eastAsia="Arial"/>
        </w:rPr>
        <w:t>)</w:t>
      </w:r>
      <w:r w:rsidRPr="02CFA273">
        <w:rPr>
          <w:rFonts w:eastAsia="Arial"/>
        </w:rPr>
        <w:t xml:space="preserve"> of the Code</w:t>
      </w:r>
      <w:r>
        <w:rPr>
          <w:rFonts w:eastAsia="Arial"/>
        </w:rPr>
        <w:t xml:space="preserve"> which</w:t>
      </w:r>
      <w:r w:rsidRPr="02CFA273">
        <w:rPr>
          <w:rFonts w:eastAsia="Arial"/>
        </w:rPr>
        <w:t xml:space="preserve"> require that a food for sale must not consist of, or have as an ingredient or a component, a novel food, a food used as a nutritive substance</w:t>
      </w:r>
      <w:r w:rsidR="00816E2A">
        <w:rPr>
          <w:rStyle w:val="FootnoteReference"/>
          <w:rFonts w:eastAsia="Arial"/>
        </w:rPr>
        <w:footnoteReference w:id="3"/>
      </w:r>
      <w:r w:rsidR="38BB1D6A">
        <w:rPr>
          <w:rFonts w:eastAsia="Arial"/>
        </w:rPr>
        <w:t xml:space="preserve">, </w:t>
      </w:r>
      <w:r w:rsidRPr="02CFA273">
        <w:rPr>
          <w:rFonts w:eastAsia="Arial"/>
        </w:rPr>
        <w:t xml:space="preserve">food produced using gene technology, </w:t>
      </w:r>
      <w:r>
        <w:rPr>
          <w:rFonts w:eastAsia="Arial"/>
        </w:rPr>
        <w:t>food additives and processing aids</w:t>
      </w:r>
      <w:r w:rsidR="38BB1D6A">
        <w:rPr>
          <w:rFonts w:eastAsia="Arial"/>
        </w:rPr>
        <w:t xml:space="preserve">, </w:t>
      </w:r>
      <w:r w:rsidRPr="02CFA273">
        <w:rPr>
          <w:rFonts w:eastAsia="Arial"/>
        </w:rPr>
        <w:t>unless expressly permitted by the Code</w:t>
      </w:r>
      <w:r w:rsidR="064C436E" w:rsidRPr="02CFA273">
        <w:rPr>
          <w:rFonts w:eastAsia="Arial"/>
        </w:rPr>
        <w:t xml:space="preserve"> (this list</w:t>
      </w:r>
      <w:r w:rsidR="3666B57A" w:rsidRPr="02CFA273">
        <w:rPr>
          <w:rFonts w:eastAsia="Arial"/>
        </w:rPr>
        <w:t xml:space="preserve"> here</w:t>
      </w:r>
      <w:r w:rsidR="064C436E" w:rsidRPr="02CFA273">
        <w:rPr>
          <w:rFonts w:eastAsia="Arial"/>
        </w:rPr>
        <w:t xml:space="preserve"> is not </w:t>
      </w:r>
      <w:r w:rsidR="1DF550B5" w:rsidRPr="02CFA273">
        <w:rPr>
          <w:rFonts w:eastAsia="Arial"/>
        </w:rPr>
        <w:t>all of the ingredients listed in the Code</w:t>
      </w:r>
      <w:r w:rsidR="064C436E" w:rsidRPr="02CFA273">
        <w:rPr>
          <w:rFonts w:eastAsia="Arial"/>
        </w:rPr>
        <w:t xml:space="preserve">, </w:t>
      </w:r>
      <w:r w:rsidR="7D5F11CA" w:rsidRPr="02CFA273">
        <w:rPr>
          <w:rFonts w:eastAsia="Arial"/>
        </w:rPr>
        <w:t>but</w:t>
      </w:r>
      <w:r w:rsidR="064C436E" w:rsidRPr="02CFA273">
        <w:rPr>
          <w:rFonts w:eastAsia="Arial"/>
        </w:rPr>
        <w:t xml:space="preserve"> are the most likely substances relevant to </w:t>
      </w:r>
      <w:r w:rsidR="00B95976">
        <w:rPr>
          <w:rFonts w:eastAsia="Arial"/>
        </w:rPr>
        <w:t>sports foods</w:t>
      </w:r>
      <w:r w:rsidR="064C436E" w:rsidRPr="02CFA273">
        <w:rPr>
          <w:rFonts w:eastAsia="Arial"/>
        </w:rPr>
        <w:t>)</w:t>
      </w:r>
      <w:r w:rsidRPr="02CFA273">
        <w:rPr>
          <w:rFonts w:eastAsia="Arial"/>
        </w:rPr>
        <w:t>. Ingredients</w:t>
      </w:r>
      <w:r w:rsidR="6F34310C">
        <w:rPr>
          <w:rFonts w:eastAsia="Arial"/>
        </w:rPr>
        <w:t xml:space="preserve"> or components </w:t>
      </w:r>
      <w:r w:rsidRPr="02CFA273">
        <w:rPr>
          <w:rFonts w:eastAsia="Arial"/>
        </w:rPr>
        <w:t>fitting the categories</w:t>
      </w:r>
      <w:r w:rsidR="3B057FD5" w:rsidRPr="02CFA273">
        <w:rPr>
          <w:rFonts w:eastAsia="Arial"/>
        </w:rPr>
        <w:t xml:space="preserve"> listed in these sections</w:t>
      </w:r>
      <w:r w:rsidRPr="02CFA273">
        <w:rPr>
          <w:rFonts w:eastAsia="Arial"/>
        </w:rPr>
        <w:t xml:space="preserve"> require </w:t>
      </w:r>
      <w:r>
        <w:rPr>
          <w:rFonts w:eastAsia="Arial"/>
        </w:rPr>
        <w:t xml:space="preserve">an application to change the Code. </w:t>
      </w:r>
    </w:p>
    <w:p w14:paraId="1B21D9C3" w14:textId="0E7ED138" w:rsidR="003E4F6F" w:rsidRDefault="003E4F6F" w:rsidP="003E4F6F">
      <w:pPr>
        <w:pStyle w:val="Heading4"/>
      </w:pPr>
      <w:r>
        <w:t xml:space="preserve">Applications to change the Code: </w:t>
      </w:r>
      <w:r w:rsidR="008F3C73">
        <w:t>p</w:t>
      </w:r>
      <w:r>
        <w:t>re-market assessment</w:t>
      </w:r>
    </w:p>
    <w:p w14:paraId="76962351" w14:textId="77777777" w:rsidR="00CA0B13" w:rsidRDefault="003E4F6F" w:rsidP="003E4F6F">
      <w:pPr>
        <w:spacing w:after="160"/>
        <w:rPr>
          <w:rFonts w:eastAsia="Arial"/>
        </w:rPr>
      </w:pPr>
      <w:r w:rsidRPr="13137CC3">
        <w:rPr>
          <w:rFonts w:eastAsia="Arial"/>
        </w:rPr>
        <w:t xml:space="preserve">Consistent with FSANZ’s primary objective as stated in the Act, the purpose of pre-market assessment is to evaluate the potential risks to public health and safety if </w:t>
      </w:r>
      <w:r w:rsidR="00425105">
        <w:rPr>
          <w:rFonts w:eastAsia="Arial"/>
        </w:rPr>
        <w:t>a new food</w:t>
      </w:r>
      <w:r w:rsidR="00AA3FDB">
        <w:rPr>
          <w:rFonts w:eastAsia="Arial"/>
        </w:rPr>
        <w:t xml:space="preserve"> or substance</w:t>
      </w:r>
      <w:r w:rsidRPr="13137CC3">
        <w:rPr>
          <w:rFonts w:eastAsia="Arial"/>
        </w:rPr>
        <w:t xml:space="preserve"> were</w:t>
      </w:r>
      <w:r w:rsidR="00712FDF">
        <w:rPr>
          <w:rFonts w:eastAsia="Arial"/>
        </w:rPr>
        <w:t xml:space="preserve"> to be</w:t>
      </w:r>
      <w:r w:rsidRPr="13137CC3">
        <w:rPr>
          <w:rFonts w:eastAsia="Arial"/>
        </w:rPr>
        <w:t xml:space="preserve"> in the food supply. </w:t>
      </w:r>
    </w:p>
    <w:p w14:paraId="4AF28617" w14:textId="700B9EDC" w:rsidR="00CA0B13" w:rsidRDefault="00CA0B13" w:rsidP="00CA0B13">
      <w:pPr>
        <w:pStyle w:val="FSBullet1"/>
        <w:numPr>
          <w:ilvl w:val="0"/>
          <w:numId w:val="0"/>
        </w:numPr>
        <w:spacing w:after="160"/>
        <w:rPr>
          <w:lang w:eastAsia="en-AU"/>
        </w:rPr>
      </w:pPr>
      <w:r>
        <w:t xml:space="preserve">All new </w:t>
      </w:r>
      <w:r w:rsidR="00CF2BB5">
        <w:t>food</w:t>
      </w:r>
      <w:r w:rsidR="008E448C">
        <w:t xml:space="preserve">, including </w:t>
      </w:r>
      <w:r>
        <w:t>substances</w:t>
      </w:r>
      <w:r w:rsidR="008E448C">
        <w:t>,</w:t>
      </w:r>
      <w:r>
        <w:t xml:space="preserve"> listed in </w:t>
      </w:r>
      <w:r w:rsidR="0090421A">
        <w:t>subsections 1.1.1—10</w:t>
      </w:r>
      <w:r w:rsidR="6D709A30">
        <w:t xml:space="preserve">(5) and </w:t>
      </w:r>
      <w:r>
        <w:t xml:space="preserve">(6) are subject to a statutory assessment by FSANZ, in accordance with the FSANZ Act, which evaluates the potential impact of permitting the </w:t>
      </w:r>
      <w:r w:rsidR="00C77DF1">
        <w:t xml:space="preserve">food or </w:t>
      </w:r>
      <w:r>
        <w:t xml:space="preserve">substance on, among other things, public health and safety, and in the case of </w:t>
      </w:r>
      <w:r w:rsidR="00734A64">
        <w:t>sports foods</w:t>
      </w:r>
      <w:r>
        <w:t>, assesses alignment with the defined purpose of the product or food set out in Standard 2.9.4</w:t>
      </w:r>
      <w:r w:rsidR="005623ED">
        <w:rPr>
          <w:rStyle w:val="FootnoteReference"/>
        </w:rPr>
        <w:footnoteReference w:id="4"/>
      </w:r>
      <w:r>
        <w:t>.</w:t>
      </w:r>
    </w:p>
    <w:p w14:paraId="7A6F0155" w14:textId="633E8436" w:rsidR="00AE42C0" w:rsidRDefault="003E4F6F" w:rsidP="00AE42C0">
      <w:pPr>
        <w:spacing w:after="160"/>
      </w:pPr>
      <w:r w:rsidRPr="13137CC3">
        <w:rPr>
          <w:rFonts w:eastAsia="Arial"/>
        </w:rPr>
        <w:t xml:space="preserve">In assessing the public health and safety of </w:t>
      </w:r>
      <w:r w:rsidR="00DE6431">
        <w:rPr>
          <w:rFonts w:eastAsia="Arial"/>
        </w:rPr>
        <w:t xml:space="preserve">new </w:t>
      </w:r>
      <w:r w:rsidR="00CF2BB5">
        <w:rPr>
          <w:rFonts w:eastAsia="Arial"/>
        </w:rPr>
        <w:t xml:space="preserve">food, including </w:t>
      </w:r>
      <w:r w:rsidR="00DE6431">
        <w:rPr>
          <w:rFonts w:eastAsia="Arial"/>
        </w:rPr>
        <w:t xml:space="preserve">substances, </w:t>
      </w:r>
      <w:r w:rsidRPr="13137CC3">
        <w:rPr>
          <w:rFonts w:eastAsia="Arial"/>
        </w:rPr>
        <w:t>FSANZ considers a variety of toxicological and nutritional aspects together with information about its chemistry and how much of it would typically be consumed. This process ensures the safety of new foods before they can be</w:t>
      </w:r>
      <w:r>
        <w:rPr>
          <w:rFonts w:eastAsia="Arial"/>
        </w:rPr>
        <w:t xml:space="preserve"> made</w:t>
      </w:r>
      <w:r w:rsidRPr="13137CC3">
        <w:rPr>
          <w:rFonts w:eastAsia="Arial"/>
        </w:rPr>
        <w:t xml:space="preserve"> available in the Australian and New Zealand food supply. </w:t>
      </w:r>
    </w:p>
    <w:p w14:paraId="1FC498E4" w14:textId="21FAB401" w:rsidR="00816E2A" w:rsidRDefault="00816E2A" w:rsidP="00251931">
      <w:pPr>
        <w:pStyle w:val="Heading3"/>
      </w:pPr>
      <w:bookmarkStart w:id="15" w:name="_Toc122602196"/>
      <w:r>
        <w:t>New Zealand Supplemented Food Standard</w:t>
      </w:r>
      <w:bookmarkEnd w:id="15"/>
    </w:p>
    <w:p w14:paraId="488BCACC" w14:textId="77777777" w:rsidR="009D5627" w:rsidRPr="009D5627" w:rsidRDefault="009D5627" w:rsidP="009D5627">
      <w:pPr>
        <w:widowControl/>
        <w:spacing w:before="100" w:beforeAutospacing="1" w:after="100" w:afterAutospacing="1"/>
        <w:rPr>
          <w:rFonts w:cs="Arial"/>
          <w:lang w:val="en-AU" w:eastAsia="en-AU" w:bidi="ar-SA"/>
        </w:rPr>
      </w:pPr>
      <w:r w:rsidRPr="4DBF8B01">
        <w:rPr>
          <w:rFonts w:cs="Arial"/>
          <w:lang w:val="en-AU" w:eastAsia="en-AU" w:bidi="ar-SA"/>
        </w:rPr>
        <w:t xml:space="preserve">New Zealand food law includes the </w:t>
      </w:r>
      <w:r w:rsidRPr="4DBF8B01">
        <w:rPr>
          <w:rFonts w:cs="Arial"/>
          <w:i/>
          <w:iCs/>
          <w:lang w:val="en-AU" w:eastAsia="en-AU" w:bidi="ar-SA"/>
        </w:rPr>
        <w:t xml:space="preserve">New Zealand Food (Supplemented Food) Standard 2016 </w:t>
      </w:r>
      <w:r w:rsidRPr="4DBF8B01">
        <w:rPr>
          <w:rFonts w:cs="Arial"/>
          <w:lang w:val="en-AU" w:eastAsia="en-AU" w:bidi="ar-SA"/>
        </w:rPr>
        <w:t xml:space="preserve">(SFS). </w:t>
      </w:r>
    </w:p>
    <w:p w14:paraId="6A0DAF7F" w14:textId="6BAF13A9" w:rsidR="37325494" w:rsidRDefault="37325494" w:rsidP="4DBF8B01">
      <w:pPr>
        <w:widowControl/>
        <w:spacing w:beforeAutospacing="1" w:afterAutospacing="1"/>
        <w:rPr>
          <w:lang w:eastAsia="en-AU"/>
        </w:rPr>
      </w:pPr>
      <w:r w:rsidRPr="4DBF8B01">
        <w:rPr>
          <w:rFonts w:cs="Arial"/>
          <w:lang w:val="en-AU" w:eastAsia="en-AU" w:bidi="ar-SA"/>
        </w:rPr>
        <w:lastRenderedPageBreak/>
        <w:t>The SFS and Standard 2.9.4 operate alongside each other in New Zealand to regulate sports foods. In New Zealand, sports food manufacturers and distributors have the choice to position their products as FSSF under the Code or as ‘supplemented foods’ under the SFS. T</w:t>
      </w:r>
      <w:r w:rsidRPr="4DBF8B01">
        <w:rPr>
          <w:lang w:eastAsia="en-AU"/>
        </w:rPr>
        <w:t>he SFS and its operation is outside of FSANZ’s remit and is out of scope for P1010.</w:t>
      </w:r>
    </w:p>
    <w:p w14:paraId="35EFD0CC" w14:textId="77777777" w:rsidR="009D5627" w:rsidRPr="009D5627" w:rsidRDefault="009D5627" w:rsidP="4DBF8B01">
      <w:pPr>
        <w:widowControl/>
        <w:spacing w:before="100" w:beforeAutospacing="1" w:after="100" w:afterAutospacing="1"/>
        <w:rPr>
          <w:rFonts w:cs="Arial"/>
          <w:lang w:val="en-AU" w:eastAsia="en-AU" w:bidi="ar-SA"/>
        </w:rPr>
      </w:pPr>
      <w:r w:rsidRPr="4DBF8B01">
        <w:rPr>
          <w:rFonts w:cs="Arial"/>
          <w:lang w:val="en-AU" w:eastAsia="en-AU" w:bidi="ar-SA"/>
        </w:rPr>
        <w:t xml:space="preserve">The SFS is a New Zealand-only standard made under the New Zealand </w:t>
      </w:r>
      <w:r w:rsidRPr="4DBF8B01">
        <w:rPr>
          <w:rFonts w:cs="Arial"/>
          <w:i/>
          <w:iCs/>
          <w:lang w:val="en-AU" w:eastAsia="en-AU" w:bidi="ar-SA"/>
        </w:rPr>
        <w:t>Food Act 2014</w:t>
      </w:r>
      <w:r w:rsidRPr="4DBF8B01">
        <w:rPr>
          <w:rFonts w:cs="Arial"/>
          <w:lang w:val="en-AU" w:eastAsia="en-AU" w:bidi="ar-SA"/>
        </w:rPr>
        <w:t>. The SFS is not part of the Code.</w:t>
      </w:r>
    </w:p>
    <w:p w14:paraId="7FEA5F82" w14:textId="4A295CC9" w:rsidR="009D5627" w:rsidRPr="009D5627" w:rsidRDefault="009D5627" w:rsidP="009D5627">
      <w:pPr>
        <w:widowControl/>
        <w:spacing w:before="100" w:beforeAutospacing="1" w:after="100" w:afterAutospacing="1"/>
        <w:rPr>
          <w:rFonts w:cs="Arial"/>
          <w:lang w:val="en-AU" w:eastAsia="en-AU" w:bidi="ar-SA"/>
        </w:rPr>
      </w:pPr>
      <w:r w:rsidRPr="44105A54">
        <w:rPr>
          <w:rFonts w:cs="Arial"/>
          <w:lang w:val="en-AU" w:eastAsia="en-AU" w:bidi="ar-SA"/>
        </w:rPr>
        <w:t>The SFS applies to supplemented food that is manufactured, sold, or prepared for sale in New Zealand or imported into New Zealand for sale. For SFS purposes, a supplemented food is a product that is represented as a food that has a substance or substances added to it, or that has been modified in some way, to perform a physiological role beyond the provision of a simple nutritive requirement. Although not an exhaustive list, the SFS provides the following products are not supplemented foods: </w:t>
      </w:r>
    </w:p>
    <w:p w14:paraId="5D5F010D" w14:textId="3ADEF751" w:rsidR="009D5627" w:rsidRPr="009D5627" w:rsidRDefault="009D5627" w:rsidP="009D5627">
      <w:pPr>
        <w:pStyle w:val="ListParagraph"/>
        <w:numPr>
          <w:ilvl w:val="0"/>
          <w:numId w:val="19"/>
        </w:numPr>
        <w:rPr>
          <w:lang w:val="en-AU" w:eastAsia="en-AU"/>
        </w:rPr>
      </w:pPr>
      <w:r w:rsidRPr="009D5627">
        <w:rPr>
          <w:lang w:val="en-AU" w:eastAsia="en-AU"/>
        </w:rPr>
        <w:t>a dietary supplement (as defined in the New Zealand Dietary Supplements Regulations 1985) </w:t>
      </w:r>
    </w:p>
    <w:p w14:paraId="20B82F42" w14:textId="7E53F493" w:rsidR="009D5627" w:rsidRPr="009D5627" w:rsidRDefault="009D5627" w:rsidP="009D5627">
      <w:pPr>
        <w:pStyle w:val="ListParagraph"/>
        <w:numPr>
          <w:ilvl w:val="0"/>
          <w:numId w:val="19"/>
        </w:numPr>
        <w:rPr>
          <w:lang w:val="en-AU" w:eastAsia="en-AU"/>
        </w:rPr>
      </w:pPr>
      <w:r w:rsidRPr="009D5627">
        <w:rPr>
          <w:lang w:val="en-AU" w:eastAsia="en-AU"/>
        </w:rPr>
        <w:t xml:space="preserve">a medicine (as defined in the New Zealand </w:t>
      </w:r>
      <w:r w:rsidRPr="009D5627">
        <w:rPr>
          <w:i/>
          <w:iCs/>
          <w:lang w:val="en-AU" w:eastAsia="en-AU"/>
        </w:rPr>
        <w:t>Medicines Act 1981</w:t>
      </w:r>
      <w:r w:rsidRPr="009D5627">
        <w:rPr>
          <w:lang w:val="en-AU" w:eastAsia="en-AU"/>
        </w:rPr>
        <w:t>) </w:t>
      </w:r>
    </w:p>
    <w:p w14:paraId="54F9C128" w14:textId="0E28C84C" w:rsidR="009D5627" w:rsidRPr="009D5627" w:rsidRDefault="009D5627" w:rsidP="009D5627">
      <w:pPr>
        <w:pStyle w:val="ListParagraph"/>
        <w:numPr>
          <w:ilvl w:val="0"/>
          <w:numId w:val="19"/>
        </w:numPr>
        <w:rPr>
          <w:lang w:val="en-AU" w:eastAsia="en-AU"/>
        </w:rPr>
      </w:pPr>
      <w:r w:rsidRPr="009D5627">
        <w:rPr>
          <w:lang w:val="en-AU" w:eastAsia="en-AU"/>
        </w:rPr>
        <w:t xml:space="preserve">a controlled drug or restricted substance (as defined in the New Zealand </w:t>
      </w:r>
      <w:r w:rsidRPr="009D5627">
        <w:rPr>
          <w:i/>
          <w:iCs/>
          <w:lang w:val="en-AU" w:eastAsia="en-AU"/>
        </w:rPr>
        <w:t>Misuse of Drugs Act 1975</w:t>
      </w:r>
      <w:r w:rsidRPr="009D5627">
        <w:rPr>
          <w:lang w:val="en-AU" w:eastAsia="en-AU"/>
        </w:rPr>
        <w:t>) </w:t>
      </w:r>
    </w:p>
    <w:p w14:paraId="0C73EEA1" w14:textId="6B83DCC6" w:rsidR="009D5627" w:rsidRPr="009D5627" w:rsidRDefault="009D5627" w:rsidP="009D5627">
      <w:pPr>
        <w:pStyle w:val="ListParagraph"/>
        <w:numPr>
          <w:ilvl w:val="0"/>
          <w:numId w:val="19"/>
        </w:numPr>
        <w:rPr>
          <w:lang w:val="en-AU" w:eastAsia="en-AU"/>
        </w:rPr>
      </w:pPr>
      <w:r w:rsidRPr="009D5627">
        <w:rPr>
          <w:lang w:val="en-AU" w:eastAsia="en-AU"/>
        </w:rPr>
        <w:t>a formulated meal replacement or formulated supplementary food (as defined in section 1.1.2—3 of the Code) and   </w:t>
      </w:r>
    </w:p>
    <w:p w14:paraId="56965AD2" w14:textId="77777777" w:rsidR="009D5627" w:rsidRPr="009D5627" w:rsidRDefault="009D5627" w:rsidP="009D5627">
      <w:pPr>
        <w:pStyle w:val="ListParagraph"/>
        <w:numPr>
          <w:ilvl w:val="0"/>
          <w:numId w:val="19"/>
        </w:numPr>
        <w:rPr>
          <w:lang w:val="en-AU" w:eastAsia="en-AU"/>
        </w:rPr>
      </w:pPr>
      <w:r w:rsidRPr="009D5627">
        <w:rPr>
          <w:lang w:val="en-AU" w:eastAsia="en-AU"/>
        </w:rPr>
        <w:t>a formulated caffeinated beverage (as defined in section 1.1.2—6 of the Code).  </w:t>
      </w:r>
    </w:p>
    <w:p w14:paraId="61271D4D" w14:textId="14F548E7" w:rsidR="009D5627" w:rsidRPr="001945D5" w:rsidRDefault="009D5627" w:rsidP="009D5627">
      <w:pPr>
        <w:widowControl/>
        <w:spacing w:before="100" w:beforeAutospacing="1" w:after="100" w:afterAutospacing="1"/>
        <w:rPr>
          <w:rFonts w:cs="Arial"/>
          <w:lang w:val="en-AU" w:eastAsia="en-AU" w:bidi="ar-SA"/>
        </w:rPr>
      </w:pPr>
      <w:r w:rsidRPr="44105A54">
        <w:rPr>
          <w:rFonts w:cs="Arial"/>
          <w:lang w:val="en-AU" w:eastAsia="en-AU" w:bidi="ar-SA"/>
        </w:rPr>
        <w:t xml:space="preserve">The SFS requires supplemented foods to comply with the majority of standards in the Code. These do not include Standard 2.9.4. </w:t>
      </w:r>
      <w:r>
        <w:br/>
      </w:r>
      <w:r>
        <w:br/>
      </w:r>
      <w:r w:rsidRPr="44105A54">
        <w:rPr>
          <w:rFonts w:cs="Arial"/>
          <w:lang w:val="en-AU" w:eastAsia="en-AU" w:bidi="ar-SA"/>
        </w:rPr>
        <w:t xml:space="preserve">The SFS permits a range of substances such as vitamins, minerals, food additives, processing aids other substances (such as caffeine) to be added to supplemented foods at certain levels. These permissions and levels differ to those set by the Code for </w:t>
      </w:r>
      <w:r w:rsidR="008056C6">
        <w:rPr>
          <w:rFonts w:cs="Arial"/>
          <w:lang w:val="en-AU" w:eastAsia="en-AU" w:bidi="ar-SA"/>
        </w:rPr>
        <w:t>sports foods</w:t>
      </w:r>
      <w:r w:rsidRPr="44105A54">
        <w:rPr>
          <w:rFonts w:cs="Arial"/>
          <w:lang w:val="en-AU" w:eastAsia="en-AU" w:bidi="ar-SA"/>
        </w:rPr>
        <w:t>. In general, unless it is specifically restricted or prohibited in the SFS itself, any vitamin, mineral, botanical or bioactive substance may be added to a supplemented food provided that it is safe and suitable for the purpose that it is being added. The SFS remains subject to the overarching requirement of the New Zealand Food Act that all additions to supplemented foods must result in food that is safe and suitable.</w:t>
      </w:r>
      <w:r>
        <w:rPr>
          <w:rStyle w:val="FootnoteReference"/>
          <w:rFonts w:cs="Arial"/>
          <w:szCs w:val="22"/>
          <w:lang w:val="en-AU" w:eastAsia="en-AU" w:bidi="ar-SA"/>
        </w:rPr>
        <w:footnoteReference w:id="5"/>
      </w:r>
    </w:p>
    <w:p w14:paraId="5C9B25B4" w14:textId="60D3E348" w:rsidR="00A55F10" w:rsidRDefault="00A55F10" w:rsidP="4DBF8B01">
      <w:pPr>
        <w:widowControl/>
        <w:spacing w:beforeAutospacing="1" w:after="160" w:afterAutospacing="1"/>
        <w:rPr>
          <w:lang w:eastAsia="en-AU"/>
        </w:rPr>
      </w:pPr>
      <w:r w:rsidRPr="4DBF8B01">
        <w:rPr>
          <w:lang w:eastAsia="en-AU"/>
        </w:rPr>
        <w:t xml:space="preserve"> </w:t>
      </w:r>
    </w:p>
    <w:p w14:paraId="638BB96C" w14:textId="5CFBD699" w:rsidR="00816E2A" w:rsidRDefault="00816E2A" w:rsidP="00251931">
      <w:pPr>
        <w:pStyle w:val="Heading3"/>
      </w:pPr>
      <w:bookmarkStart w:id="16" w:name="_Toc122602197"/>
      <w:r>
        <w:t>Trans-Tasman Mutual Recognition Arrangement</w:t>
      </w:r>
      <w:bookmarkEnd w:id="16"/>
      <w:r>
        <w:t xml:space="preserve"> </w:t>
      </w:r>
    </w:p>
    <w:p w14:paraId="45BAC96C" w14:textId="4B495E97" w:rsidR="00816E2A" w:rsidRPr="00E00889" w:rsidRDefault="00816E2A" w:rsidP="006B18A1">
      <w:pPr>
        <w:spacing w:after="160"/>
        <w:rPr>
          <w:lang w:eastAsia="en-AU"/>
        </w:rPr>
      </w:pPr>
      <w:r w:rsidRPr="00E00889">
        <w:rPr>
          <w:lang w:eastAsia="en-AU"/>
        </w:rPr>
        <w:t>The Trans-Tasman Mutual Recognition Arrangement (TTMRA) is a non-treaty arrangement between the Australian (Commonwealth)</w:t>
      </w:r>
      <w:r w:rsidR="00083610" w:rsidRPr="00E00889">
        <w:rPr>
          <w:lang w:eastAsia="en-AU"/>
        </w:rPr>
        <w:t xml:space="preserve"> Government</w:t>
      </w:r>
      <w:r w:rsidRPr="00E00889">
        <w:rPr>
          <w:lang w:eastAsia="en-AU"/>
        </w:rPr>
        <w:t xml:space="preserve">, </w:t>
      </w:r>
      <w:r w:rsidR="0074765D" w:rsidRPr="00E00889">
        <w:rPr>
          <w:lang w:eastAsia="en-AU"/>
        </w:rPr>
        <w:t xml:space="preserve">the </w:t>
      </w:r>
      <w:r w:rsidRPr="00E00889">
        <w:rPr>
          <w:lang w:eastAsia="en-AU"/>
        </w:rPr>
        <w:t>state and territory governments of Australia</w:t>
      </w:r>
      <w:r w:rsidR="00083610" w:rsidRPr="00E00889">
        <w:rPr>
          <w:lang w:eastAsia="en-AU"/>
        </w:rPr>
        <w:t>,</w:t>
      </w:r>
      <w:r w:rsidRPr="00E00889">
        <w:rPr>
          <w:lang w:eastAsia="en-AU"/>
        </w:rPr>
        <w:t xml:space="preserve"> and the Government of New Zealand</w:t>
      </w:r>
      <w:r w:rsidR="00712850" w:rsidRPr="00E00889">
        <w:rPr>
          <w:lang w:eastAsia="en-AU"/>
        </w:rPr>
        <w:t xml:space="preserve">. </w:t>
      </w:r>
      <w:r w:rsidR="00B011EE" w:rsidRPr="00E00889">
        <w:rPr>
          <w:lang w:eastAsia="en-AU"/>
        </w:rPr>
        <w:t xml:space="preserve">A key principle of the TTMRA is mutual recognition whereby </w:t>
      </w:r>
      <w:r w:rsidR="00B011EE" w:rsidRPr="00E00889">
        <w:rPr>
          <w:rFonts w:cs="Arial"/>
        </w:rPr>
        <w:t xml:space="preserve">goods that can legally be sold in New Zealand can be </w:t>
      </w:r>
      <w:r w:rsidR="00DB0215" w:rsidRPr="00E00889">
        <w:rPr>
          <w:rFonts w:cs="Arial"/>
        </w:rPr>
        <w:t xml:space="preserve">imported into and </w:t>
      </w:r>
      <w:r w:rsidR="00B011EE" w:rsidRPr="00E00889">
        <w:rPr>
          <w:rFonts w:cs="Arial"/>
        </w:rPr>
        <w:t>sold in Australia, and vice versa</w:t>
      </w:r>
      <w:r w:rsidRPr="00E00889">
        <w:rPr>
          <w:lang w:eastAsia="en-AU"/>
        </w:rPr>
        <w:t>. </w:t>
      </w:r>
      <w:r w:rsidR="00D31D62" w:rsidRPr="00E00889">
        <w:rPr>
          <w:rFonts w:cs="Arial"/>
        </w:rPr>
        <w:t xml:space="preserve">All laws </w:t>
      </w:r>
      <w:r w:rsidR="00807E99" w:rsidRPr="00E00889">
        <w:rPr>
          <w:rFonts w:cs="Arial"/>
        </w:rPr>
        <w:t>–</w:t>
      </w:r>
      <w:r w:rsidR="00CC5E4D" w:rsidRPr="00E00889">
        <w:rPr>
          <w:rFonts w:cs="Arial"/>
        </w:rPr>
        <w:t xml:space="preserve"> including food laws </w:t>
      </w:r>
      <w:r w:rsidR="00807E99" w:rsidRPr="00E00889">
        <w:rPr>
          <w:rFonts w:cs="Arial"/>
        </w:rPr>
        <w:t>–</w:t>
      </w:r>
      <w:r w:rsidR="00CC5E4D" w:rsidRPr="00E00889">
        <w:rPr>
          <w:rFonts w:cs="Arial"/>
        </w:rPr>
        <w:t xml:space="preserve"> </w:t>
      </w:r>
      <w:r w:rsidR="00D31D62" w:rsidRPr="00E00889">
        <w:rPr>
          <w:rFonts w:cs="Arial"/>
        </w:rPr>
        <w:t xml:space="preserve">are subject to the TTMRA unless specifically excluded or exempt. The TTMRA took effect on 1 May 1998 and is implemented in Australia by the </w:t>
      </w:r>
      <w:r w:rsidR="00D31D62" w:rsidRPr="00E00889">
        <w:rPr>
          <w:rFonts w:cs="Arial"/>
          <w:i/>
          <w:iCs/>
        </w:rPr>
        <w:t>Trans-Tasman Mutual Recognition Act 1997</w:t>
      </w:r>
      <w:r w:rsidR="004D3E07" w:rsidRPr="00E00889">
        <w:rPr>
          <w:rFonts w:cs="Arial"/>
          <w:i/>
          <w:iCs/>
        </w:rPr>
        <w:t>.</w:t>
      </w:r>
    </w:p>
    <w:p w14:paraId="1BAB3B7A" w14:textId="091DC5F0" w:rsidR="00EF6883" w:rsidRDefault="00D31D62" w:rsidP="006B18A1">
      <w:pPr>
        <w:spacing w:after="160"/>
        <w:rPr>
          <w:lang w:eastAsia="en-AU"/>
        </w:rPr>
      </w:pPr>
      <w:r>
        <w:rPr>
          <w:lang w:eastAsia="en-AU"/>
        </w:rPr>
        <w:t xml:space="preserve">The TTMRA </w:t>
      </w:r>
      <w:r w:rsidR="00613671">
        <w:rPr>
          <w:lang w:eastAsia="en-AU"/>
        </w:rPr>
        <w:t>allow</w:t>
      </w:r>
      <w:r w:rsidR="004D3E07">
        <w:rPr>
          <w:lang w:eastAsia="en-AU"/>
        </w:rPr>
        <w:t>s</w:t>
      </w:r>
      <w:r w:rsidR="00613671">
        <w:rPr>
          <w:lang w:eastAsia="en-AU"/>
        </w:rPr>
        <w:t xml:space="preserve"> </w:t>
      </w:r>
      <w:r w:rsidR="00816E2A">
        <w:rPr>
          <w:lang w:eastAsia="en-AU"/>
        </w:rPr>
        <w:t xml:space="preserve">supplemented foods that comply with </w:t>
      </w:r>
      <w:r w:rsidR="005C6337" w:rsidRPr="36CE5B2B">
        <w:rPr>
          <w:lang w:eastAsia="en-AU"/>
        </w:rPr>
        <w:t>New</w:t>
      </w:r>
      <w:r w:rsidR="005C6337">
        <w:rPr>
          <w:lang w:eastAsia="en-AU"/>
        </w:rPr>
        <w:t xml:space="preserve"> Zealand food law</w:t>
      </w:r>
      <w:r w:rsidR="007521F6">
        <w:rPr>
          <w:lang w:eastAsia="en-AU"/>
        </w:rPr>
        <w:t xml:space="preserve"> (including the SFS)</w:t>
      </w:r>
      <w:r w:rsidR="00816E2A">
        <w:rPr>
          <w:lang w:eastAsia="en-AU"/>
        </w:rPr>
        <w:t xml:space="preserve"> in New Zealand </w:t>
      </w:r>
      <w:r w:rsidR="00090D02" w:rsidRPr="36CE5B2B">
        <w:rPr>
          <w:lang w:eastAsia="en-AU"/>
        </w:rPr>
        <w:t>to</w:t>
      </w:r>
      <w:r w:rsidR="00090D02">
        <w:rPr>
          <w:lang w:eastAsia="en-AU"/>
        </w:rPr>
        <w:t xml:space="preserve"> be imported into and sold in Australia. </w:t>
      </w:r>
    </w:p>
    <w:p w14:paraId="61C237C7" w14:textId="445D2A1D" w:rsidR="00816E2A" w:rsidRDefault="00DF6EAF" w:rsidP="006B18A1">
      <w:pPr>
        <w:spacing w:after="160"/>
        <w:rPr>
          <w:lang w:eastAsia="en-AU"/>
        </w:rPr>
      </w:pPr>
      <w:r>
        <w:rPr>
          <w:lang w:eastAsia="en-AU"/>
        </w:rPr>
        <w:t>Foods manufactured and sold in Australia are not subject to the TTM</w:t>
      </w:r>
      <w:r w:rsidR="008236E2">
        <w:rPr>
          <w:lang w:eastAsia="en-AU"/>
        </w:rPr>
        <w:t>R</w:t>
      </w:r>
      <w:r>
        <w:rPr>
          <w:lang w:eastAsia="en-AU"/>
        </w:rPr>
        <w:t>A and must</w:t>
      </w:r>
      <w:r w:rsidR="00916264">
        <w:rPr>
          <w:lang w:eastAsia="en-AU"/>
        </w:rPr>
        <w:t xml:space="preserve"> </w:t>
      </w:r>
      <w:r>
        <w:rPr>
          <w:lang w:eastAsia="en-AU"/>
        </w:rPr>
        <w:t xml:space="preserve">comply </w:t>
      </w:r>
      <w:r>
        <w:rPr>
          <w:lang w:eastAsia="en-AU"/>
        </w:rPr>
        <w:lastRenderedPageBreak/>
        <w:t xml:space="preserve">with </w:t>
      </w:r>
      <w:r w:rsidR="00294C99">
        <w:rPr>
          <w:lang w:eastAsia="en-AU"/>
        </w:rPr>
        <w:t>Australian food laws including the</w:t>
      </w:r>
      <w:r>
        <w:rPr>
          <w:lang w:eastAsia="en-AU"/>
        </w:rPr>
        <w:t xml:space="preserve"> Code. </w:t>
      </w:r>
    </w:p>
    <w:p w14:paraId="1CB98C23" w14:textId="5F2E6EA3" w:rsidR="00024A14" w:rsidRDefault="00024A14" w:rsidP="006B18A1">
      <w:pPr>
        <w:spacing w:after="160"/>
        <w:rPr>
          <w:lang w:eastAsia="en-AU"/>
        </w:rPr>
      </w:pPr>
      <w:r>
        <w:rPr>
          <w:lang w:eastAsia="en-AU"/>
        </w:rPr>
        <w:t>The TTMRA and its operation is outside of FSANZ</w:t>
      </w:r>
      <w:r w:rsidR="00A55F10">
        <w:rPr>
          <w:lang w:eastAsia="en-AU"/>
        </w:rPr>
        <w:t>’s</w:t>
      </w:r>
      <w:r>
        <w:rPr>
          <w:lang w:eastAsia="en-AU"/>
        </w:rPr>
        <w:t xml:space="preserve"> remit </w:t>
      </w:r>
      <w:r w:rsidR="00D55944">
        <w:rPr>
          <w:lang w:eastAsia="en-AU"/>
        </w:rPr>
        <w:t>and is out of scope for P1010.</w:t>
      </w:r>
      <w:r>
        <w:rPr>
          <w:lang w:eastAsia="en-AU"/>
        </w:rPr>
        <w:t xml:space="preserve">  </w:t>
      </w:r>
    </w:p>
    <w:p w14:paraId="73E81FCA" w14:textId="0837B4F7" w:rsidR="00816E2A" w:rsidRDefault="0073697C" w:rsidP="00251931">
      <w:pPr>
        <w:pStyle w:val="Heading3"/>
      </w:pPr>
      <w:bookmarkStart w:id="17" w:name="_Toc122602198"/>
      <w:r>
        <w:t xml:space="preserve">Interaction with </w:t>
      </w:r>
      <w:r w:rsidR="00816E2A">
        <w:t xml:space="preserve">Australian Therapeutic Goods </w:t>
      </w:r>
      <w:r>
        <w:t>Regulations</w:t>
      </w:r>
      <w:bookmarkEnd w:id="17"/>
    </w:p>
    <w:p w14:paraId="3D1023CC" w14:textId="3AB4A164" w:rsidR="00F81C51" w:rsidRDefault="00816E2A" w:rsidP="006B18A1">
      <w:pPr>
        <w:spacing w:after="160"/>
        <w:rPr>
          <w:lang w:eastAsia="en-AU"/>
        </w:rPr>
      </w:pPr>
      <w:r w:rsidRPr="273439B9">
        <w:rPr>
          <w:lang w:eastAsia="en-AU"/>
        </w:rPr>
        <w:t xml:space="preserve">The regulation of </w:t>
      </w:r>
      <w:r w:rsidR="008056C6">
        <w:rPr>
          <w:lang w:eastAsia="en-AU"/>
        </w:rPr>
        <w:t>sports foods</w:t>
      </w:r>
      <w:r w:rsidR="008056C6" w:rsidRPr="273439B9">
        <w:rPr>
          <w:lang w:eastAsia="en-AU"/>
        </w:rPr>
        <w:t xml:space="preserve"> </w:t>
      </w:r>
      <w:r w:rsidRPr="273439B9">
        <w:rPr>
          <w:lang w:eastAsia="en-AU"/>
        </w:rPr>
        <w:t xml:space="preserve">in Australia </w:t>
      </w:r>
      <w:r w:rsidR="00D041E9">
        <w:rPr>
          <w:lang w:eastAsia="en-AU"/>
        </w:rPr>
        <w:t xml:space="preserve">can </w:t>
      </w:r>
      <w:r w:rsidRPr="273439B9">
        <w:rPr>
          <w:lang w:eastAsia="en-AU"/>
        </w:rPr>
        <w:t>fall within what is known as the ‘food-medicine interface’</w:t>
      </w:r>
      <w:r w:rsidR="007440BB" w:rsidRPr="273439B9">
        <w:rPr>
          <w:lang w:eastAsia="en-AU"/>
        </w:rPr>
        <w:t xml:space="preserve"> (FMI)</w:t>
      </w:r>
      <w:r w:rsidRPr="273439B9">
        <w:rPr>
          <w:lang w:eastAsia="en-AU"/>
        </w:rPr>
        <w:t xml:space="preserve">. </w:t>
      </w:r>
      <w:r w:rsidR="005A64D8" w:rsidRPr="273439B9">
        <w:rPr>
          <w:lang w:eastAsia="en-AU"/>
        </w:rPr>
        <w:t>Th</w:t>
      </w:r>
      <w:r w:rsidR="00D041E9">
        <w:rPr>
          <w:lang w:eastAsia="en-AU"/>
        </w:rPr>
        <w:t>e FMI</w:t>
      </w:r>
      <w:r w:rsidR="005A64D8" w:rsidRPr="273439B9" w:rsidDel="00E30594">
        <w:rPr>
          <w:lang w:eastAsia="en-AU"/>
        </w:rPr>
        <w:t xml:space="preserve"> </w:t>
      </w:r>
      <w:r w:rsidR="00E30594">
        <w:rPr>
          <w:lang w:eastAsia="en-AU"/>
        </w:rPr>
        <w:t xml:space="preserve">arises </w:t>
      </w:r>
      <w:r w:rsidR="000F2EFB">
        <w:rPr>
          <w:lang w:eastAsia="en-AU"/>
        </w:rPr>
        <w:t>out of</w:t>
      </w:r>
      <w:r w:rsidR="00493DAE">
        <w:rPr>
          <w:lang w:eastAsia="en-AU"/>
        </w:rPr>
        <w:t xml:space="preserve"> </w:t>
      </w:r>
      <w:r w:rsidR="009518D2">
        <w:rPr>
          <w:lang w:eastAsia="en-AU"/>
        </w:rPr>
        <w:t>the definitions in</w:t>
      </w:r>
      <w:r w:rsidR="0080162C">
        <w:rPr>
          <w:lang w:eastAsia="en-AU"/>
        </w:rPr>
        <w:t xml:space="preserve"> </w:t>
      </w:r>
      <w:r w:rsidR="00071AF8">
        <w:rPr>
          <w:lang w:eastAsia="en-AU"/>
        </w:rPr>
        <w:t>Australian</w:t>
      </w:r>
      <w:r w:rsidR="00493DAE">
        <w:rPr>
          <w:lang w:eastAsia="en-AU"/>
        </w:rPr>
        <w:t xml:space="preserve"> food laws </w:t>
      </w:r>
      <w:r w:rsidR="009518D2">
        <w:rPr>
          <w:lang w:eastAsia="en-AU"/>
        </w:rPr>
        <w:t>as to</w:t>
      </w:r>
      <w:r w:rsidR="00493DAE">
        <w:rPr>
          <w:lang w:eastAsia="en-AU"/>
        </w:rPr>
        <w:t xml:space="preserve"> what is </w:t>
      </w:r>
      <w:r w:rsidR="00071AF8">
        <w:rPr>
          <w:lang w:eastAsia="en-AU"/>
        </w:rPr>
        <w:t>‘</w:t>
      </w:r>
      <w:r w:rsidR="00493DAE">
        <w:rPr>
          <w:lang w:eastAsia="en-AU"/>
        </w:rPr>
        <w:t>a food</w:t>
      </w:r>
      <w:r w:rsidR="00071AF8">
        <w:rPr>
          <w:lang w:eastAsia="en-AU"/>
        </w:rPr>
        <w:t xml:space="preserve">’ </w:t>
      </w:r>
      <w:r w:rsidR="00051CDC">
        <w:rPr>
          <w:lang w:eastAsia="en-AU"/>
        </w:rPr>
        <w:t xml:space="preserve">and </w:t>
      </w:r>
      <w:r w:rsidR="009518D2">
        <w:rPr>
          <w:lang w:eastAsia="en-AU"/>
        </w:rPr>
        <w:t>in</w:t>
      </w:r>
      <w:r w:rsidR="00051CDC">
        <w:rPr>
          <w:lang w:eastAsia="en-AU"/>
        </w:rPr>
        <w:t xml:space="preserve"> </w:t>
      </w:r>
      <w:r w:rsidR="0073697C">
        <w:rPr>
          <w:lang w:eastAsia="en-AU"/>
        </w:rPr>
        <w:t xml:space="preserve">the </w:t>
      </w:r>
      <w:r w:rsidR="003412C5" w:rsidRPr="003412C5">
        <w:rPr>
          <w:i/>
          <w:iCs/>
          <w:lang w:eastAsia="en-AU"/>
        </w:rPr>
        <w:t>Therapeutic Goods</w:t>
      </w:r>
      <w:r w:rsidR="00051CDC" w:rsidRPr="003412C5">
        <w:rPr>
          <w:i/>
          <w:lang w:eastAsia="en-AU"/>
        </w:rPr>
        <w:t xml:space="preserve"> Act </w:t>
      </w:r>
      <w:r w:rsidR="003412C5" w:rsidRPr="003412C5">
        <w:rPr>
          <w:i/>
          <w:iCs/>
          <w:lang w:eastAsia="en-AU"/>
        </w:rPr>
        <w:t>1989</w:t>
      </w:r>
      <w:r w:rsidR="003412C5" w:rsidRPr="003412C5">
        <w:rPr>
          <w:lang w:eastAsia="en-AU"/>
        </w:rPr>
        <w:t xml:space="preserve"> (</w:t>
      </w:r>
      <w:r w:rsidR="00051CDC" w:rsidRPr="003412C5">
        <w:rPr>
          <w:lang w:eastAsia="en-AU"/>
        </w:rPr>
        <w:t>TG Act</w:t>
      </w:r>
      <w:r w:rsidR="003412C5" w:rsidRPr="003412C5">
        <w:rPr>
          <w:lang w:eastAsia="en-AU"/>
        </w:rPr>
        <w:t>)</w:t>
      </w:r>
      <w:r w:rsidR="00051CDC" w:rsidRPr="003412C5">
        <w:rPr>
          <w:lang w:eastAsia="en-AU"/>
        </w:rPr>
        <w:t xml:space="preserve"> </w:t>
      </w:r>
      <w:r w:rsidR="009518D2">
        <w:rPr>
          <w:lang w:eastAsia="en-AU"/>
        </w:rPr>
        <w:t>as to</w:t>
      </w:r>
      <w:r w:rsidR="00051CDC">
        <w:rPr>
          <w:lang w:eastAsia="en-AU"/>
        </w:rPr>
        <w:t xml:space="preserve"> what is a</w:t>
      </w:r>
      <w:r w:rsidR="00051CDC" w:rsidRPr="003412C5">
        <w:rPr>
          <w:rFonts w:cs="Arial"/>
          <w:szCs w:val="22"/>
        </w:rPr>
        <w:t xml:space="preserve"> </w:t>
      </w:r>
      <w:r w:rsidR="00051CDC" w:rsidRPr="273439B9">
        <w:rPr>
          <w:lang w:eastAsia="en-AU"/>
        </w:rPr>
        <w:t>therapeutic good</w:t>
      </w:r>
      <w:r w:rsidR="00493DAE">
        <w:rPr>
          <w:lang w:eastAsia="en-AU"/>
        </w:rPr>
        <w:t xml:space="preserve">. </w:t>
      </w:r>
      <w:r w:rsidR="003F2C90">
        <w:rPr>
          <w:lang w:eastAsia="en-AU"/>
        </w:rPr>
        <w:t>The</w:t>
      </w:r>
      <w:r w:rsidR="009518D2">
        <w:rPr>
          <w:lang w:eastAsia="en-AU"/>
        </w:rPr>
        <w:t>se</w:t>
      </w:r>
      <w:r w:rsidR="00051CDC">
        <w:rPr>
          <w:lang w:eastAsia="en-AU"/>
        </w:rPr>
        <w:t xml:space="preserve"> </w:t>
      </w:r>
      <w:r w:rsidR="00BE4672">
        <w:rPr>
          <w:lang w:eastAsia="en-AU"/>
        </w:rPr>
        <w:t xml:space="preserve">generally </w:t>
      </w:r>
      <w:r w:rsidR="003F2C90">
        <w:rPr>
          <w:lang w:eastAsia="en-AU"/>
        </w:rPr>
        <w:t>provide that</w:t>
      </w:r>
      <w:r w:rsidR="00C92444">
        <w:rPr>
          <w:lang w:eastAsia="en-AU"/>
        </w:rPr>
        <w:t>:</w:t>
      </w:r>
      <w:r w:rsidR="003F2C90">
        <w:rPr>
          <w:lang w:eastAsia="en-AU"/>
        </w:rPr>
        <w:t xml:space="preserve"> a</w:t>
      </w:r>
      <w:r w:rsidR="00B87734">
        <w:rPr>
          <w:lang w:eastAsia="en-AU"/>
        </w:rPr>
        <w:t>nything that is a</w:t>
      </w:r>
      <w:r w:rsidR="003F2C90">
        <w:rPr>
          <w:lang w:eastAsia="en-AU"/>
        </w:rPr>
        <w:t xml:space="preserve"> </w:t>
      </w:r>
      <w:r w:rsidR="003F2C90" w:rsidRPr="273439B9">
        <w:rPr>
          <w:lang w:eastAsia="en-AU"/>
        </w:rPr>
        <w:t>therapeutic good</w:t>
      </w:r>
      <w:r w:rsidR="003F2C90">
        <w:rPr>
          <w:lang w:eastAsia="en-AU"/>
        </w:rPr>
        <w:t xml:space="preserve"> – as defined and regulated by the TG Act – is not a food</w:t>
      </w:r>
      <w:r w:rsidR="00C92444">
        <w:rPr>
          <w:lang w:eastAsia="en-AU"/>
        </w:rPr>
        <w:t>; and</w:t>
      </w:r>
      <w:r w:rsidR="00051CDC">
        <w:rPr>
          <w:lang w:eastAsia="en-AU"/>
        </w:rPr>
        <w:t xml:space="preserve"> </w:t>
      </w:r>
      <w:r w:rsidR="00BE4672">
        <w:rPr>
          <w:lang w:eastAsia="en-AU"/>
        </w:rPr>
        <w:t xml:space="preserve">anything that is traditionally </w:t>
      </w:r>
      <w:r w:rsidR="00C92444">
        <w:rPr>
          <w:lang w:eastAsia="en-AU"/>
        </w:rPr>
        <w:t>used as</w:t>
      </w:r>
      <w:r w:rsidR="00BE4672">
        <w:rPr>
          <w:lang w:eastAsia="en-AU"/>
        </w:rPr>
        <w:t xml:space="preserve"> a food or </w:t>
      </w:r>
      <w:r w:rsidR="0011453F">
        <w:rPr>
          <w:lang w:eastAsia="en-AU"/>
        </w:rPr>
        <w:t xml:space="preserve">for which there is a </w:t>
      </w:r>
      <w:r w:rsidR="00BE4672">
        <w:rPr>
          <w:lang w:eastAsia="en-AU"/>
        </w:rPr>
        <w:t xml:space="preserve">standard in the Code </w:t>
      </w:r>
      <w:r w:rsidR="0011453F">
        <w:rPr>
          <w:lang w:eastAsia="en-AU"/>
        </w:rPr>
        <w:t>is not a</w:t>
      </w:r>
      <w:r w:rsidR="0011453F" w:rsidRPr="003412C5">
        <w:rPr>
          <w:rFonts w:cs="Arial"/>
          <w:szCs w:val="22"/>
        </w:rPr>
        <w:t xml:space="preserve"> </w:t>
      </w:r>
      <w:r w:rsidR="0011453F" w:rsidRPr="273439B9">
        <w:rPr>
          <w:lang w:eastAsia="en-AU"/>
        </w:rPr>
        <w:t>therapeutic good</w:t>
      </w:r>
      <w:r w:rsidR="003F2C90">
        <w:rPr>
          <w:lang w:eastAsia="en-AU"/>
        </w:rPr>
        <w:t xml:space="preserve">. </w:t>
      </w:r>
      <w:r w:rsidR="00AA39EA">
        <w:rPr>
          <w:lang w:eastAsia="en-AU"/>
        </w:rPr>
        <w:t>This means that</w:t>
      </w:r>
      <w:r w:rsidR="00DF0A5E">
        <w:rPr>
          <w:lang w:eastAsia="en-AU"/>
        </w:rPr>
        <w:t xml:space="preserve">, for regulatory purposes, </w:t>
      </w:r>
      <w:r w:rsidR="00AA39EA" w:rsidRPr="003412C5">
        <w:rPr>
          <w:rFonts w:cs="Arial"/>
          <w:szCs w:val="22"/>
        </w:rPr>
        <w:t xml:space="preserve">a product </w:t>
      </w:r>
      <w:r w:rsidR="00A04CDA" w:rsidRPr="003412C5">
        <w:rPr>
          <w:rFonts w:cs="Arial"/>
          <w:szCs w:val="22"/>
        </w:rPr>
        <w:t>mus</w:t>
      </w:r>
      <w:r w:rsidR="003017DA" w:rsidRPr="003412C5">
        <w:rPr>
          <w:rFonts w:cs="Arial"/>
          <w:szCs w:val="22"/>
        </w:rPr>
        <w:t>t</w:t>
      </w:r>
      <w:r w:rsidR="00DF0A5E" w:rsidRPr="003412C5">
        <w:rPr>
          <w:rFonts w:cs="Arial"/>
          <w:szCs w:val="22"/>
        </w:rPr>
        <w:t xml:space="preserve"> either</w:t>
      </w:r>
      <w:r w:rsidR="0073697C" w:rsidRPr="003412C5">
        <w:rPr>
          <w:rFonts w:cs="Arial"/>
          <w:szCs w:val="22"/>
        </w:rPr>
        <w:t xml:space="preserve"> be</w:t>
      </w:r>
      <w:r w:rsidR="00DF0A5E" w:rsidRPr="003412C5">
        <w:rPr>
          <w:rFonts w:cs="Arial"/>
          <w:szCs w:val="22"/>
        </w:rPr>
        <w:t xml:space="preserve"> a food regulated by food laws or a </w:t>
      </w:r>
      <w:r w:rsidR="00AA39EA" w:rsidRPr="273439B9">
        <w:rPr>
          <w:lang w:eastAsia="en-AU"/>
        </w:rPr>
        <w:t>therapeutic good</w:t>
      </w:r>
      <w:r w:rsidR="00AA39EA">
        <w:rPr>
          <w:lang w:eastAsia="en-AU"/>
        </w:rPr>
        <w:t xml:space="preserve"> </w:t>
      </w:r>
      <w:r w:rsidR="00DF0A5E" w:rsidRPr="003412C5">
        <w:rPr>
          <w:rFonts w:cs="Arial"/>
          <w:szCs w:val="22"/>
        </w:rPr>
        <w:t>regulated by the TG Act – it cannot be both</w:t>
      </w:r>
      <w:r w:rsidR="00AA39EA" w:rsidRPr="003412C5">
        <w:rPr>
          <w:rFonts w:cs="Arial"/>
          <w:szCs w:val="22"/>
        </w:rPr>
        <w:t xml:space="preserve">. </w:t>
      </w:r>
    </w:p>
    <w:p w14:paraId="2056553E" w14:textId="2FE1C63D" w:rsidR="000244FD" w:rsidRDefault="003802CF" w:rsidP="006B18A1">
      <w:pPr>
        <w:spacing w:after="160"/>
        <w:rPr>
          <w:lang w:eastAsia="en-AU"/>
        </w:rPr>
      </w:pPr>
      <w:r w:rsidRPr="003412C5">
        <w:rPr>
          <w:rFonts w:cs="Arial"/>
          <w:szCs w:val="22"/>
          <w:shd w:val="clear" w:color="auto" w:fill="FFFFFF"/>
        </w:rPr>
        <w:t xml:space="preserve">There </w:t>
      </w:r>
      <w:r w:rsidR="004644D8" w:rsidRPr="003412C5">
        <w:rPr>
          <w:rFonts w:cs="Arial"/>
          <w:szCs w:val="22"/>
          <w:shd w:val="clear" w:color="auto" w:fill="FFFFFF"/>
        </w:rPr>
        <w:t>can be</w:t>
      </w:r>
      <w:r w:rsidRPr="003412C5">
        <w:rPr>
          <w:rFonts w:cs="Arial"/>
          <w:szCs w:val="22"/>
          <w:shd w:val="clear" w:color="auto" w:fill="FFFFFF"/>
        </w:rPr>
        <w:t xml:space="preserve"> products </w:t>
      </w:r>
      <w:r w:rsidR="000244FD" w:rsidRPr="003412C5">
        <w:rPr>
          <w:rFonts w:cs="Arial"/>
          <w:szCs w:val="22"/>
          <w:shd w:val="clear" w:color="auto" w:fill="FFFFFF"/>
        </w:rPr>
        <w:t xml:space="preserve">– including </w:t>
      </w:r>
      <w:r w:rsidR="008056C6">
        <w:rPr>
          <w:rFonts w:cs="Arial"/>
          <w:szCs w:val="22"/>
          <w:shd w:val="clear" w:color="auto" w:fill="FFFFFF"/>
        </w:rPr>
        <w:t>sports foods</w:t>
      </w:r>
      <w:r w:rsidR="008056C6" w:rsidRPr="003412C5">
        <w:rPr>
          <w:rFonts w:cs="Arial"/>
          <w:szCs w:val="22"/>
          <w:shd w:val="clear" w:color="auto" w:fill="FFFFFF"/>
        </w:rPr>
        <w:t xml:space="preserve"> </w:t>
      </w:r>
      <w:r w:rsidR="00807E99" w:rsidRPr="003412C5">
        <w:rPr>
          <w:rFonts w:cs="Arial"/>
          <w:szCs w:val="22"/>
          <w:shd w:val="clear" w:color="auto" w:fill="FFFFFF"/>
        </w:rPr>
        <w:t>–</w:t>
      </w:r>
      <w:r w:rsidR="000244FD" w:rsidRPr="003412C5">
        <w:rPr>
          <w:rFonts w:cs="Arial"/>
          <w:szCs w:val="22"/>
          <w:shd w:val="clear" w:color="auto" w:fill="FFFFFF"/>
        </w:rPr>
        <w:t xml:space="preserve"> </w:t>
      </w:r>
      <w:r w:rsidRPr="003412C5">
        <w:rPr>
          <w:rFonts w:cs="Arial"/>
          <w:szCs w:val="22"/>
          <w:shd w:val="clear" w:color="auto" w:fill="FFFFFF"/>
        </w:rPr>
        <w:t>where</w:t>
      </w:r>
      <w:r w:rsidR="002A14FE" w:rsidRPr="003412C5">
        <w:rPr>
          <w:rFonts w:cs="Arial"/>
          <w:szCs w:val="22"/>
          <w:shd w:val="clear" w:color="auto" w:fill="FFFFFF"/>
        </w:rPr>
        <w:t xml:space="preserve"> </w:t>
      </w:r>
      <w:r w:rsidR="002A14FE" w:rsidRPr="00D041E9">
        <w:rPr>
          <w:rFonts w:cs="Arial"/>
          <w:szCs w:val="22"/>
          <w:lang w:eastAsia="en-AU"/>
        </w:rPr>
        <w:t>initially</w:t>
      </w:r>
      <w:r w:rsidRPr="003412C5">
        <w:rPr>
          <w:rFonts w:cs="Arial"/>
          <w:szCs w:val="22"/>
          <w:shd w:val="clear" w:color="auto" w:fill="FFFFFF"/>
        </w:rPr>
        <w:t xml:space="preserve"> </w:t>
      </w:r>
      <w:r w:rsidR="004644D8" w:rsidRPr="00D041E9">
        <w:rPr>
          <w:rFonts w:cs="Arial"/>
          <w:szCs w:val="22"/>
          <w:lang w:eastAsia="en-AU"/>
        </w:rPr>
        <w:t xml:space="preserve">it </w:t>
      </w:r>
      <w:r w:rsidR="002A14FE" w:rsidRPr="00D041E9">
        <w:rPr>
          <w:rFonts w:cs="Arial"/>
          <w:szCs w:val="22"/>
          <w:lang w:eastAsia="en-AU"/>
        </w:rPr>
        <w:t>may</w:t>
      </w:r>
      <w:r w:rsidR="004644D8" w:rsidRPr="00D041E9">
        <w:rPr>
          <w:rFonts w:cs="Arial"/>
          <w:szCs w:val="22"/>
          <w:lang w:eastAsia="en-AU"/>
        </w:rPr>
        <w:t xml:space="preserve"> not </w:t>
      </w:r>
      <w:r w:rsidR="002A14FE" w:rsidRPr="00D041E9">
        <w:rPr>
          <w:rFonts w:cs="Arial"/>
          <w:szCs w:val="22"/>
          <w:lang w:eastAsia="en-AU"/>
        </w:rPr>
        <w:t xml:space="preserve">be </w:t>
      </w:r>
      <w:r w:rsidR="004644D8" w:rsidRPr="00D041E9">
        <w:rPr>
          <w:rFonts w:cs="Arial"/>
          <w:szCs w:val="22"/>
          <w:lang w:eastAsia="en-AU"/>
        </w:rPr>
        <w:t>clear whether they are a therapeutic good or a food</w:t>
      </w:r>
      <w:r w:rsidRPr="003412C5">
        <w:rPr>
          <w:rFonts w:cs="Arial"/>
          <w:szCs w:val="22"/>
          <w:shd w:val="clear" w:color="auto" w:fill="FFFFFF"/>
        </w:rPr>
        <w:t xml:space="preserve">, and therefore </w:t>
      </w:r>
      <w:r w:rsidR="002A14FE" w:rsidRPr="003412C5">
        <w:rPr>
          <w:rFonts w:cs="Arial"/>
          <w:szCs w:val="22"/>
          <w:shd w:val="clear" w:color="auto" w:fill="FFFFFF"/>
        </w:rPr>
        <w:t>which</w:t>
      </w:r>
      <w:r w:rsidRPr="003412C5">
        <w:rPr>
          <w:rFonts w:cs="Arial"/>
          <w:szCs w:val="22"/>
          <w:shd w:val="clear" w:color="auto" w:fill="FFFFFF"/>
        </w:rPr>
        <w:t xml:space="preserve"> </w:t>
      </w:r>
      <w:r w:rsidR="004644D8" w:rsidRPr="003412C5">
        <w:rPr>
          <w:rFonts w:cs="Arial"/>
          <w:szCs w:val="22"/>
          <w:shd w:val="clear" w:color="auto" w:fill="FFFFFF"/>
        </w:rPr>
        <w:t xml:space="preserve">set of </w:t>
      </w:r>
      <w:r w:rsidRPr="003412C5">
        <w:rPr>
          <w:rFonts w:cs="Arial"/>
          <w:szCs w:val="22"/>
          <w:shd w:val="clear" w:color="auto" w:fill="FFFFFF"/>
        </w:rPr>
        <w:t xml:space="preserve">regulation </w:t>
      </w:r>
      <w:r w:rsidR="003017DA" w:rsidRPr="003412C5">
        <w:rPr>
          <w:rFonts w:cs="Arial"/>
          <w:szCs w:val="22"/>
          <w:shd w:val="clear" w:color="auto" w:fill="FFFFFF"/>
        </w:rPr>
        <w:t>they are subject to</w:t>
      </w:r>
      <w:r w:rsidRPr="003412C5">
        <w:rPr>
          <w:rFonts w:cs="Arial"/>
          <w:szCs w:val="22"/>
          <w:shd w:val="clear" w:color="auto" w:fill="FFFFFF"/>
        </w:rPr>
        <w:t xml:space="preserve">. </w:t>
      </w:r>
      <w:r w:rsidR="00816E2A" w:rsidRPr="273439B9">
        <w:rPr>
          <w:lang w:eastAsia="en-AU"/>
        </w:rPr>
        <w:t>Often, claims made about a product, or the appearance of the product, may suggest that it is a therapeutic good. However, the fact that certain claims are made about a product does not automatically make it a therapeutic good</w:t>
      </w:r>
      <w:r w:rsidR="47A714C8" w:rsidRPr="273439B9">
        <w:rPr>
          <w:lang w:eastAsia="en-AU"/>
        </w:rPr>
        <w:t>, n</w:t>
      </w:r>
      <w:r w:rsidR="00816E2A" w:rsidRPr="273439B9">
        <w:rPr>
          <w:lang w:eastAsia="en-AU"/>
        </w:rPr>
        <w:t xml:space="preserve">or </w:t>
      </w:r>
      <w:r w:rsidR="62B227E0" w:rsidRPr="273439B9">
        <w:rPr>
          <w:lang w:eastAsia="en-AU"/>
        </w:rPr>
        <w:t>if</w:t>
      </w:r>
      <w:r w:rsidR="00816E2A" w:rsidRPr="273439B9">
        <w:rPr>
          <w:lang w:eastAsia="en-AU"/>
        </w:rPr>
        <w:t xml:space="preserve"> the product comes in capsules or powders, or is labelled as a </w:t>
      </w:r>
      <w:r w:rsidR="00807E99">
        <w:rPr>
          <w:lang w:eastAsia="en-AU"/>
        </w:rPr>
        <w:t>‘</w:t>
      </w:r>
      <w:r w:rsidR="00816E2A" w:rsidRPr="273439B9">
        <w:rPr>
          <w:lang w:eastAsia="en-AU"/>
        </w:rPr>
        <w:t>supplement</w:t>
      </w:r>
      <w:r w:rsidR="00807E99">
        <w:rPr>
          <w:lang w:eastAsia="en-AU"/>
        </w:rPr>
        <w:t>’</w:t>
      </w:r>
      <w:r w:rsidR="00816E2A" w:rsidRPr="273439B9">
        <w:rPr>
          <w:lang w:eastAsia="en-AU"/>
        </w:rPr>
        <w:t>.</w:t>
      </w:r>
      <w:r w:rsidR="00816E2A" w:rsidRPr="00A134F8" w:rsidDel="00AF0621">
        <w:rPr>
          <w:lang w:eastAsia="en-AU"/>
        </w:rPr>
        <w:t xml:space="preserve"> </w:t>
      </w:r>
      <w:r w:rsidR="00AF0621">
        <w:rPr>
          <w:lang w:eastAsia="en-AU"/>
        </w:rPr>
        <w:t xml:space="preserve">In such cases, the </w:t>
      </w:r>
      <w:r w:rsidR="00A80000">
        <w:rPr>
          <w:lang w:eastAsia="en-AU"/>
        </w:rPr>
        <w:t>different regulatory requirements</w:t>
      </w:r>
      <w:r w:rsidR="00442185">
        <w:rPr>
          <w:lang w:eastAsia="en-AU"/>
        </w:rPr>
        <w:t xml:space="preserve"> means</w:t>
      </w:r>
      <w:r w:rsidR="00816E2A" w:rsidRPr="00A134F8">
        <w:rPr>
          <w:lang w:eastAsia="en-AU"/>
        </w:rPr>
        <w:t xml:space="preserve"> that regulators, manufacturers</w:t>
      </w:r>
      <w:r w:rsidR="00D041E9" w:rsidRPr="00D041E9">
        <w:rPr>
          <w:rFonts w:cs="Arial"/>
          <w:szCs w:val="22"/>
          <w:lang w:eastAsia="en-AU"/>
        </w:rPr>
        <w:t xml:space="preserve">, </w:t>
      </w:r>
      <w:r w:rsidR="00816E2A" w:rsidRPr="00A134F8">
        <w:rPr>
          <w:lang w:eastAsia="en-AU"/>
        </w:rPr>
        <w:t xml:space="preserve">importers </w:t>
      </w:r>
      <w:r w:rsidR="00D041E9" w:rsidRPr="00D041E9">
        <w:rPr>
          <w:rFonts w:cs="Arial"/>
          <w:szCs w:val="22"/>
          <w:lang w:eastAsia="en-AU"/>
        </w:rPr>
        <w:t xml:space="preserve">and consumers </w:t>
      </w:r>
      <w:r w:rsidR="00816E2A" w:rsidRPr="00A134F8">
        <w:rPr>
          <w:lang w:eastAsia="en-AU"/>
        </w:rPr>
        <w:t>need</w:t>
      </w:r>
      <w:r w:rsidR="00816E2A" w:rsidRPr="00A134F8" w:rsidDel="00A80000">
        <w:rPr>
          <w:lang w:eastAsia="en-AU"/>
        </w:rPr>
        <w:t xml:space="preserve"> </w:t>
      </w:r>
      <w:r w:rsidR="00816E2A" w:rsidRPr="00A134F8">
        <w:rPr>
          <w:lang w:eastAsia="en-AU"/>
        </w:rPr>
        <w:t xml:space="preserve">to </w:t>
      </w:r>
      <w:r w:rsidR="00A80000" w:rsidRPr="003412C5">
        <w:rPr>
          <w:rFonts w:cs="Arial"/>
          <w:szCs w:val="22"/>
          <w:shd w:val="clear" w:color="auto" w:fill="FFFFFF"/>
        </w:rPr>
        <w:t xml:space="preserve">know whether </w:t>
      </w:r>
      <w:r w:rsidR="00AF0621" w:rsidRPr="003412C5">
        <w:rPr>
          <w:rFonts w:cs="Arial"/>
          <w:szCs w:val="22"/>
          <w:shd w:val="clear" w:color="auto" w:fill="FFFFFF"/>
        </w:rPr>
        <w:t xml:space="preserve">the </w:t>
      </w:r>
      <w:r w:rsidR="00A80000" w:rsidRPr="003412C5">
        <w:rPr>
          <w:rFonts w:cs="Arial"/>
          <w:szCs w:val="22"/>
          <w:shd w:val="clear" w:color="auto" w:fill="FFFFFF"/>
        </w:rPr>
        <w:t xml:space="preserve">particular product </w:t>
      </w:r>
      <w:r w:rsidR="00AF0621" w:rsidRPr="003412C5">
        <w:rPr>
          <w:rFonts w:cs="Arial"/>
          <w:szCs w:val="22"/>
          <w:shd w:val="clear" w:color="auto" w:fill="FFFFFF"/>
        </w:rPr>
        <w:t>is to be</w:t>
      </w:r>
      <w:r w:rsidR="00A80000" w:rsidRPr="003412C5">
        <w:rPr>
          <w:rFonts w:cs="Arial"/>
          <w:szCs w:val="22"/>
          <w:shd w:val="clear" w:color="auto" w:fill="FFFFFF"/>
        </w:rPr>
        <w:t xml:space="preserve"> regulated as </w:t>
      </w:r>
      <w:r w:rsidR="00664863" w:rsidRPr="003412C5">
        <w:rPr>
          <w:rFonts w:cs="Arial"/>
          <w:szCs w:val="22"/>
          <w:shd w:val="clear" w:color="auto" w:fill="FFFFFF"/>
        </w:rPr>
        <w:t xml:space="preserve">food or as a </w:t>
      </w:r>
      <w:r w:rsidR="00A80000" w:rsidRPr="003412C5">
        <w:rPr>
          <w:rFonts w:cs="Arial"/>
          <w:szCs w:val="22"/>
          <w:shd w:val="clear" w:color="auto" w:fill="FFFFFF"/>
        </w:rPr>
        <w:t>medicine</w:t>
      </w:r>
      <w:r w:rsidR="00664863" w:rsidRPr="003412C5">
        <w:rPr>
          <w:rFonts w:cs="Arial"/>
          <w:szCs w:val="22"/>
          <w:shd w:val="clear" w:color="auto" w:fill="FFFFFF"/>
        </w:rPr>
        <w:t xml:space="preserve"> (or a </w:t>
      </w:r>
      <w:r w:rsidR="00664863" w:rsidRPr="273439B9">
        <w:rPr>
          <w:lang w:eastAsia="en-AU"/>
        </w:rPr>
        <w:t>therapeutic good</w:t>
      </w:r>
      <w:r w:rsidR="00664863">
        <w:rPr>
          <w:lang w:eastAsia="en-AU"/>
        </w:rPr>
        <w:t xml:space="preserve">). </w:t>
      </w:r>
    </w:p>
    <w:p w14:paraId="1B6F233A" w14:textId="103EF9D1" w:rsidR="00DF5003" w:rsidRDefault="00327DDC" w:rsidP="006B18A1">
      <w:pPr>
        <w:spacing w:after="160"/>
        <w:rPr>
          <w:lang w:eastAsia="en-AU"/>
        </w:rPr>
      </w:pPr>
      <w:r w:rsidRPr="44105A54">
        <w:rPr>
          <w:lang w:eastAsia="en-AU"/>
        </w:rPr>
        <w:t>In</w:t>
      </w:r>
      <w:r>
        <w:rPr>
          <w:lang w:eastAsia="en-AU"/>
        </w:rPr>
        <w:t xml:space="preserve"> light of the above</w:t>
      </w:r>
      <w:r w:rsidR="000244FD">
        <w:rPr>
          <w:lang w:eastAsia="en-AU"/>
        </w:rPr>
        <w:t>,</w:t>
      </w:r>
      <w:r w:rsidR="00AC2BEA">
        <w:rPr>
          <w:lang w:eastAsia="en-AU"/>
        </w:rPr>
        <w:t xml:space="preserve"> the TGA has developed</w:t>
      </w:r>
      <w:r>
        <w:rPr>
          <w:lang w:eastAsia="en-AU"/>
        </w:rPr>
        <w:t xml:space="preserve">, </w:t>
      </w:r>
      <w:r w:rsidR="007B2F78">
        <w:rPr>
          <w:lang w:eastAsia="en-AU"/>
        </w:rPr>
        <w:t xml:space="preserve">published on its website </w:t>
      </w:r>
      <w:r>
        <w:rPr>
          <w:lang w:eastAsia="en-AU"/>
        </w:rPr>
        <w:t xml:space="preserve">and administers </w:t>
      </w:r>
      <w:r w:rsidR="007B2F78">
        <w:rPr>
          <w:lang w:eastAsia="en-AU"/>
        </w:rPr>
        <w:t xml:space="preserve">an </w:t>
      </w:r>
      <w:r w:rsidR="007B2F78" w:rsidRPr="003412C5">
        <w:rPr>
          <w:rFonts w:cs="Arial"/>
          <w:szCs w:val="22"/>
        </w:rPr>
        <w:t>interactive </w:t>
      </w:r>
      <w:r w:rsidR="007B2F78" w:rsidRPr="00A134F8">
        <w:rPr>
          <w:lang w:eastAsia="en-AU"/>
        </w:rPr>
        <w:t>Food Medicine Interface Guidance Tool</w:t>
      </w:r>
      <w:r w:rsidR="007B2F78">
        <w:rPr>
          <w:rStyle w:val="FootnoteReference"/>
          <w:lang w:eastAsia="en-AU"/>
        </w:rPr>
        <w:footnoteReference w:id="6"/>
      </w:r>
      <w:r w:rsidR="00D041E9" w:rsidRPr="00D041E9">
        <w:rPr>
          <w:rFonts w:cs="Arial"/>
          <w:szCs w:val="22"/>
          <w:lang w:eastAsia="en-AU"/>
        </w:rPr>
        <w:t xml:space="preserve"> to determine</w:t>
      </w:r>
      <w:r w:rsidR="00D041E9" w:rsidRPr="003412C5">
        <w:rPr>
          <w:rFonts w:cs="Arial"/>
          <w:szCs w:val="22"/>
        </w:rPr>
        <w:t xml:space="preserve"> whether a product is a food or therapeutic good.</w:t>
      </w:r>
    </w:p>
    <w:p w14:paraId="318D790D" w14:textId="01BD0579" w:rsidR="00442185" w:rsidRDefault="000244FD" w:rsidP="006B18A1">
      <w:pPr>
        <w:spacing w:after="160"/>
        <w:rPr>
          <w:lang w:eastAsia="en-AU"/>
        </w:rPr>
      </w:pPr>
      <w:r>
        <w:rPr>
          <w:lang w:eastAsia="en-AU"/>
        </w:rPr>
        <w:t>The FMI and definitions in the TG Act and Food Act</w:t>
      </w:r>
      <w:r w:rsidR="00E11755">
        <w:rPr>
          <w:lang w:eastAsia="en-AU"/>
        </w:rPr>
        <w:t>s</w:t>
      </w:r>
      <w:r>
        <w:rPr>
          <w:lang w:eastAsia="en-AU"/>
        </w:rPr>
        <w:t xml:space="preserve"> are outside of FSANZ’s remit and </w:t>
      </w:r>
      <w:r w:rsidR="000F2EFB">
        <w:rPr>
          <w:lang w:eastAsia="en-AU"/>
        </w:rPr>
        <w:t>are</w:t>
      </w:r>
      <w:r>
        <w:rPr>
          <w:lang w:eastAsia="en-AU"/>
        </w:rPr>
        <w:t xml:space="preserve"> out of scope for P1010.  </w:t>
      </w:r>
    </w:p>
    <w:p w14:paraId="4203FCC7" w14:textId="2DA12A28" w:rsidR="00816E2A" w:rsidRDefault="00816E2A" w:rsidP="00816E2A">
      <w:pPr>
        <w:pStyle w:val="Heading4"/>
        <w:rPr>
          <w:lang w:eastAsia="en-AU"/>
        </w:rPr>
      </w:pPr>
      <w:r>
        <w:rPr>
          <w:lang w:eastAsia="en-AU"/>
        </w:rPr>
        <w:t>Section 7 TGA Declaration</w:t>
      </w:r>
    </w:p>
    <w:p w14:paraId="1F5057B2" w14:textId="11C22054" w:rsidR="00816E2A" w:rsidRPr="00A134F8" w:rsidRDefault="00816E2A" w:rsidP="006B18A1">
      <w:pPr>
        <w:spacing w:after="160"/>
        <w:rPr>
          <w:lang w:eastAsia="en-AU"/>
        </w:rPr>
      </w:pPr>
      <w:r w:rsidRPr="00A134F8">
        <w:rPr>
          <w:lang w:eastAsia="en-AU"/>
        </w:rPr>
        <w:t>The TGA has declared under section 7 of the TG Act that certain sports supplements are therapeutic goods for the purposes of that Act (and therefore not a ‘food’). The declaration came into effect on 30 November 2020</w:t>
      </w:r>
      <w:r>
        <w:rPr>
          <w:rStyle w:val="FootnoteReference"/>
          <w:lang w:eastAsia="en-AU"/>
        </w:rPr>
        <w:footnoteReference w:id="7"/>
      </w:r>
      <w:r w:rsidRPr="00A134F8">
        <w:rPr>
          <w:lang w:eastAsia="en-AU"/>
        </w:rPr>
        <w:t xml:space="preserve">. </w:t>
      </w:r>
    </w:p>
    <w:p w14:paraId="6840FF7C" w14:textId="316EECC1" w:rsidR="00816E2A" w:rsidRPr="00A134F8" w:rsidRDefault="00816E2A" w:rsidP="006B18A1">
      <w:pPr>
        <w:spacing w:after="160"/>
        <w:rPr>
          <w:lang w:eastAsia="en-AU"/>
        </w:rPr>
      </w:pPr>
      <w:r w:rsidRPr="00A134F8">
        <w:rPr>
          <w:lang w:eastAsia="en-AU"/>
        </w:rPr>
        <w:t xml:space="preserve">The declaration provides that goods that meet the following criteria are ‘therapeutic goods’ and subject to regulation under the TG Act: </w:t>
      </w:r>
    </w:p>
    <w:p w14:paraId="20961E40" w14:textId="77777777" w:rsidR="00816E2A" w:rsidRPr="00A134F8" w:rsidRDefault="00816E2A" w:rsidP="006B18A1">
      <w:pPr>
        <w:spacing w:after="160"/>
        <w:rPr>
          <w:lang w:eastAsia="en-AU"/>
        </w:rPr>
      </w:pPr>
      <w:r w:rsidRPr="00A134F8">
        <w:rPr>
          <w:lang w:eastAsia="en-AU"/>
        </w:rPr>
        <w:t>Goods for oral administration that are represented (expressly or by implication) as being for the improvement or maintenance of physical or mental performance in sport, exercise or recreational activity, and that:</w:t>
      </w:r>
    </w:p>
    <w:p w14:paraId="3A134DCC" w14:textId="03140F15" w:rsidR="00816E2A" w:rsidRPr="0073697C" w:rsidRDefault="00816E2A" w:rsidP="0073697C">
      <w:pPr>
        <w:pStyle w:val="ListParagraph"/>
        <w:numPr>
          <w:ilvl w:val="0"/>
          <w:numId w:val="21"/>
        </w:numPr>
        <w:spacing w:before="100" w:beforeAutospacing="1" w:after="100" w:afterAutospacing="1"/>
        <w:ind w:left="567" w:firstLine="0"/>
        <w:rPr>
          <w:lang w:val="en-AU" w:eastAsia="en-AU"/>
        </w:rPr>
      </w:pPr>
      <w:r w:rsidRPr="0073697C">
        <w:rPr>
          <w:lang w:val="en-AU" w:eastAsia="en-AU"/>
        </w:rPr>
        <w:t xml:space="preserve">contain, or are represented (expressly or by implication) to contain, one or more of the following substances (however described or named): </w:t>
      </w:r>
    </w:p>
    <w:p w14:paraId="119C6F11" w14:textId="78FD6EB1" w:rsidR="00816E2A" w:rsidRPr="00A134F8" w:rsidRDefault="00816E2A" w:rsidP="273439B9">
      <w:pPr>
        <w:pStyle w:val="ListParagraph"/>
        <w:numPr>
          <w:ilvl w:val="1"/>
          <w:numId w:val="6"/>
        </w:numPr>
        <w:spacing w:before="100" w:beforeAutospacing="1" w:after="100" w:afterAutospacing="1"/>
        <w:rPr>
          <w:lang w:val="en-AU" w:eastAsia="en-AU"/>
        </w:rPr>
      </w:pPr>
      <w:r w:rsidRPr="273439B9">
        <w:rPr>
          <w:lang w:val="en-AU" w:eastAsia="en-AU"/>
        </w:rPr>
        <w:t>a substance included in a schedule to the current Poisons Standard; or</w:t>
      </w:r>
    </w:p>
    <w:p w14:paraId="395D9E7E" w14:textId="77777777" w:rsidR="00816E2A" w:rsidRPr="002813E6" w:rsidRDefault="00816E2A" w:rsidP="273439B9">
      <w:pPr>
        <w:pStyle w:val="ListParagraph"/>
        <w:numPr>
          <w:ilvl w:val="1"/>
          <w:numId w:val="6"/>
        </w:numPr>
        <w:spacing w:before="100" w:beforeAutospacing="1" w:after="100" w:afterAutospacing="1"/>
        <w:rPr>
          <w:lang w:val="en-AU" w:eastAsia="en-AU"/>
        </w:rPr>
      </w:pPr>
      <w:r w:rsidRPr="00A134F8">
        <w:rPr>
          <w:lang w:val="en-AU" w:eastAsia="en-AU"/>
        </w:rPr>
        <w:t xml:space="preserve">a substance expressly identified </w:t>
      </w:r>
      <w:r w:rsidRPr="002813E6">
        <w:rPr>
          <w:lang w:val="en-AU" w:eastAsia="en-AU"/>
        </w:rPr>
        <w:t>on the Prohibited List</w:t>
      </w:r>
      <w:r w:rsidRPr="002813E6">
        <w:rPr>
          <w:rStyle w:val="FootnoteReference"/>
          <w:lang w:val="en-AU" w:eastAsia="en-AU"/>
        </w:rPr>
        <w:footnoteReference w:id="8"/>
      </w:r>
      <w:r w:rsidRPr="002813E6">
        <w:rPr>
          <w:lang w:val="en-AU" w:eastAsia="en-AU"/>
        </w:rPr>
        <w:t xml:space="preserve"> that is added as an ingredient to the goods; or</w:t>
      </w:r>
    </w:p>
    <w:p w14:paraId="57960DE8" w14:textId="442AB8EC" w:rsidR="00816E2A" w:rsidRPr="00A134F8" w:rsidRDefault="00816E2A" w:rsidP="273439B9">
      <w:pPr>
        <w:pStyle w:val="ListParagraph"/>
        <w:numPr>
          <w:ilvl w:val="1"/>
          <w:numId w:val="6"/>
        </w:numPr>
        <w:spacing w:before="100" w:beforeAutospacing="1" w:after="100" w:afterAutospacing="1"/>
        <w:rPr>
          <w:lang w:val="en-AU" w:eastAsia="en-AU"/>
        </w:rPr>
      </w:pPr>
      <w:r w:rsidRPr="273439B9">
        <w:rPr>
          <w:lang w:val="en-AU" w:eastAsia="en-AU"/>
        </w:rPr>
        <w:t>a relevant substance that is added as an ingredient to the goods; or</w:t>
      </w:r>
    </w:p>
    <w:p w14:paraId="32A057B9" w14:textId="59026DD7" w:rsidR="00816E2A" w:rsidRPr="00A134F8" w:rsidRDefault="00816E2A" w:rsidP="273439B9">
      <w:pPr>
        <w:pStyle w:val="ListParagraph"/>
        <w:numPr>
          <w:ilvl w:val="1"/>
          <w:numId w:val="6"/>
        </w:numPr>
        <w:spacing w:before="100" w:beforeAutospacing="1" w:after="100" w:afterAutospacing="1"/>
        <w:rPr>
          <w:lang w:val="en-AU" w:eastAsia="en-AU"/>
        </w:rPr>
      </w:pPr>
      <w:r w:rsidRPr="273439B9">
        <w:rPr>
          <w:lang w:val="en-AU" w:eastAsia="en-AU"/>
        </w:rPr>
        <w:lastRenderedPageBreak/>
        <w:t>a substance with equivalent pharmacological action to a substance mentioned in subparagraph (</w:t>
      </w:r>
      <w:proofErr w:type="spellStart"/>
      <w:r w:rsidRPr="273439B9">
        <w:rPr>
          <w:lang w:val="en-AU" w:eastAsia="en-AU"/>
        </w:rPr>
        <w:t>i</w:t>
      </w:r>
      <w:proofErr w:type="spellEnd"/>
      <w:r w:rsidRPr="273439B9">
        <w:rPr>
          <w:lang w:val="en-AU" w:eastAsia="en-AU"/>
        </w:rPr>
        <w:t>), (ii) or (iii), including those that may be characterised as an active principle, precursor, derivative, salt, ester, ether or stereoisomer; or</w:t>
      </w:r>
    </w:p>
    <w:p w14:paraId="4C5210E6" w14:textId="77777777" w:rsidR="00816E2A" w:rsidRPr="00A134F8" w:rsidRDefault="00816E2A" w:rsidP="0073697C">
      <w:pPr>
        <w:spacing w:before="100" w:beforeAutospacing="1" w:after="100" w:afterAutospacing="1"/>
        <w:ind w:left="567"/>
        <w:rPr>
          <w:lang w:val="en-AU" w:eastAsia="en-AU"/>
        </w:rPr>
      </w:pPr>
      <w:r w:rsidRPr="273439B9">
        <w:rPr>
          <w:lang w:val="en-AU" w:eastAsia="en-AU"/>
        </w:rPr>
        <w:t>(b) on or after 30 November 2020 are supplied in the dosage form of a tablet, capsule or pill other than those goods containing glucose only when the goods are used, advertised, or presented for supply:</w:t>
      </w:r>
    </w:p>
    <w:p w14:paraId="035F2658" w14:textId="77777777" w:rsidR="00816E2A" w:rsidRPr="00F06DBB" w:rsidRDefault="00816E2A" w:rsidP="273439B9">
      <w:pPr>
        <w:pStyle w:val="ListParagraph"/>
        <w:numPr>
          <w:ilvl w:val="0"/>
          <w:numId w:val="5"/>
        </w:numPr>
        <w:spacing w:before="100" w:beforeAutospacing="1" w:after="100" w:afterAutospacing="1" w:line="240" w:lineRule="auto"/>
        <w:rPr>
          <w:rFonts w:eastAsia="Times New Roman"/>
          <w:lang w:val="en-AU" w:eastAsia="en-AU"/>
        </w:rPr>
      </w:pPr>
      <w:r w:rsidRPr="273439B9">
        <w:rPr>
          <w:rFonts w:eastAsia="Times New Roman"/>
          <w:lang w:val="en-AU" w:eastAsia="en-AU"/>
        </w:rPr>
        <w:t>for therapeutic use; or</w:t>
      </w:r>
    </w:p>
    <w:p w14:paraId="67060A69" w14:textId="47AE6D4F" w:rsidR="00816E2A" w:rsidRPr="00F06DBB" w:rsidRDefault="00816E2A" w:rsidP="273439B9">
      <w:pPr>
        <w:pStyle w:val="ListParagraph"/>
        <w:numPr>
          <w:ilvl w:val="0"/>
          <w:numId w:val="5"/>
        </w:numPr>
        <w:spacing w:before="100" w:beforeAutospacing="1" w:after="100" w:afterAutospacing="1" w:line="240" w:lineRule="auto"/>
        <w:rPr>
          <w:rFonts w:eastAsia="Times New Roman"/>
          <w:lang w:val="en-AU" w:eastAsia="en-AU"/>
        </w:rPr>
      </w:pPr>
      <w:r w:rsidRPr="273439B9">
        <w:rPr>
          <w:rFonts w:eastAsia="Times New Roman"/>
          <w:lang w:val="en-AU" w:eastAsia="en-AU"/>
        </w:rPr>
        <w:t xml:space="preserve">in a way that is likely to be taken to be for therapeutic use; </w:t>
      </w:r>
    </w:p>
    <w:p w14:paraId="744EA8D3" w14:textId="070221FA" w:rsidR="00816E2A" w:rsidRPr="00F06DBB" w:rsidRDefault="00816E2A" w:rsidP="0073697C">
      <w:pPr>
        <w:spacing w:before="100" w:beforeAutospacing="1" w:after="100" w:afterAutospacing="1"/>
        <w:ind w:left="207" w:firstLine="360"/>
        <w:rPr>
          <w:lang w:val="en-AU" w:eastAsia="en-AU"/>
        </w:rPr>
      </w:pPr>
      <w:r w:rsidRPr="273439B9">
        <w:rPr>
          <w:lang w:val="en-AU" w:eastAsia="en-AU"/>
        </w:rPr>
        <w:t>including, but not limited to, one or more of the following therapeutic uses:</w:t>
      </w:r>
    </w:p>
    <w:p w14:paraId="08AFA2F6" w14:textId="77777777" w:rsidR="00816E2A" w:rsidRDefault="00816E2A" w:rsidP="273439B9">
      <w:pPr>
        <w:pStyle w:val="ListParagraph"/>
        <w:numPr>
          <w:ilvl w:val="0"/>
          <w:numId w:val="1"/>
        </w:numPr>
        <w:spacing w:beforeAutospacing="1" w:afterAutospacing="1" w:line="240" w:lineRule="auto"/>
        <w:rPr>
          <w:rFonts w:eastAsia="Times New Roman"/>
          <w:lang w:val="en-AU" w:eastAsia="en-AU"/>
        </w:rPr>
      </w:pPr>
      <w:r w:rsidRPr="273439B9">
        <w:rPr>
          <w:rFonts w:eastAsia="Times New Roman"/>
          <w:lang w:val="en-AU" w:eastAsia="en-AU"/>
        </w:rPr>
        <w:t>gaining muscle;</w:t>
      </w:r>
    </w:p>
    <w:p w14:paraId="550B7808" w14:textId="77777777" w:rsidR="00816E2A" w:rsidRDefault="00816E2A" w:rsidP="273439B9">
      <w:pPr>
        <w:pStyle w:val="ListParagraph"/>
        <w:numPr>
          <w:ilvl w:val="0"/>
          <w:numId w:val="1"/>
        </w:numPr>
        <w:spacing w:beforeAutospacing="1" w:afterAutospacing="1" w:line="240" w:lineRule="auto"/>
        <w:rPr>
          <w:rFonts w:eastAsia="Times New Roman"/>
          <w:lang w:val="en-AU" w:eastAsia="en-AU"/>
        </w:rPr>
      </w:pPr>
      <w:r w:rsidRPr="273439B9">
        <w:rPr>
          <w:rFonts w:eastAsia="Times New Roman"/>
          <w:lang w:val="en-AU" w:eastAsia="en-AU"/>
        </w:rPr>
        <w:t>increasing mental focus;</w:t>
      </w:r>
    </w:p>
    <w:p w14:paraId="34089B61" w14:textId="77777777" w:rsidR="00816E2A" w:rsidRDefault="00816E2A" w:rsidP="273439B9">
      <w:pPr>
        <w:pStyle w:val="ListParagraph"/>
        <w:numPr>
          <w:ilvl w:val="0"/>
          <w:numId w:val="1"/>
        </w:numPr>
        <w:spacing w:beforeAutospacing="1" w:afterAutospacing="1" w:line="240" w:lineRule="auto"/>
        <w:rPr>
          <w:rFonts w:eastAsia="Times New Roman"/>
          <w:lang w:val="en-AU" w:eastAsia="en-AU"/>
        </w:rPr>
      </w:pPr>
      <w:r w:rsidRPr="273439B9">
        <w:rPr>
          <w:rFonts w:eastAsia="Times New Roman"/>
          <w:lang w:val="en-AU" w:eastAsia="en-AU"/>
        </w:rPr>
        <w:t>increasing metabolism;</w:t>
      </w:r>
    </w:p>
    <w:p w14:paraId="493DB539" w14:textId="77777777" w:rsidR="00816E2A" w:rsidRDefault="00816E2A" w:rsidP="273439B9">
      <w:pPr>
        <w:pStyle w:val="ListParagraph"/>
        <w:numPr>
          <w:ilvl w:val="0"/>
          <w:numId w:val="1"/>
        </w:numPr>
        <w:spacing w:beforeAutospacing="1" w:afterAutospacing="1" w:line="240" w:lineRule="auto"/>
        <w:rPr>
          <w:rFonts w:eastAsia="Times New Roman"/>
          <w:lang w:val="en-AU" w:eastAsia="en-AU"/>
        </w:rPr>
      </w:pPr>
      <w:r w:rsidRPr="273439B9">
        <w:rPr>
          <w:rFonts w:eastAsia="Times New Roman"/>
          <w:lang w:val="en-AU" w:eastAsia="en-AU"/>
        </w:rPr>
        <w:t>increasing stamina;</w:t>
      </w:r>
    </w:p>
    <w:p w14:paraId="5F5E3581" w14:textId="77777777" w:rsidR="00816E2A" w:rsidRDefault="00816E2A" w:rsidP="273439B9">
      <w:pPr>
        <w:pStyle w:val="ListParagraph"/>
        <w:numPr>
          <w:ilvl w:val="0"/>
          <w:numId w:val="1"/>
        </w:numPr>
        <w:spacing w:beforeAutospacing="1" w:afterAutospacing="1" w:line="240" w:lineRule="auto"/>
        <w:rPr>
          <w:rFonts w:eastAsia="Times New Roman"/>
          <w:lang w:val="en-AU" w:eastAsia="en-AU"/>
        </w:rPr>
      </w:pPr>
      <w:r w:rsidRPr="273439B9">
        <w:rPr>
          <w:rFonts w:eastAsia="Times New Roman"/>
          <w:lang w:val="en-AU" w:eastAsia="en-AU"/>
        </w:rPr>
        <w:t>increasing testosterone levels, reducing oestrogen levels or otherwise modifying hormone levels;</w:t>
      </w:r>
    </w:p>
    <w:p w14:paraId="3C3781FC" w14:textId="77777777" w:rsidR="00816E2A" w:rsidRDefault="00816E2A" w:rsidP="273439B9">
      <w:pPr>
        <w:pStyle w:val="ListParagraph"/>
        <w:numPr>
          <w:ilvl w:val="0"/>
          <w:numId w:val="1"/>
        </w:numPr>
        <w:spacing w:beforeAutospacing="1" w:afterAutospacing="1" w:line="240" w:lineRule="auto"/>
        <w:rPr>
          <w:rFonts w:eastAsia="Times New Roman"/>
          <w:lang w:val="en-AU" w:eastAsia="en-AU"/>
        </w:rPr>
      </w:pPr>
      <w:r w:rsidRPr="273439B9">
        <w:rPr>
          <w:rFonts w:eastAsia="Times New Roman"/>
          <w:lang w:val="en-AU" w:eastAsia="en-AU"/>
        </w:rPr>
        <w:t>losing weight or fat;</w:t>
      </w:r>
    </w:p>
    <w:p w14:paraId="38827E82" w14:textId="77777777" w:rsidR="00816E2A" w:rsidRDefault="00816E2A" w:rsidP="273439B9">
      <w:pPr>
        <w:pStyle w:val="ListParagraph"/>
        <w:numPr>
          <w:ilvl w:val="0"/>
          <w:numId w:val="1"/>
        </w:numPr>
        <w:spacing w:beforeAutospacing="1" w:afterAutospacing="1" w:line="240" w:lineRule="auto"/>
        <w:rPr>
          <w:rFonts w:eastAsia="Times New Roman"/>
          <w:lang w:val="en-AU" w:eastAsia="en-AU"/>
        </w:rPr>
      </w:pPr>
      <w:r w:rsidRPr="273439B9">
        <w:rPr>
          <w:rFonts w:eastAsia="Times New Roman"/>
          <w:lang w:val="en-AU" w:eastAsia="en-AU"/>
        </w:rPr>
        <w:t>preparing for workout;</w:t>
      </w:r>
    </w:p>
    <w:p w14:paraId="013C1287" w14:textId="77777777" w:rsidR="00816E2A" w:rsidRDefault="00816E2A" w:rsidP="273439B9">
      <w:pPr>
        <w:pStyle w:val="ListParagraph"/>
        <w:numPr>
          <w:ilvl w:val="0"/>
          <w:numId w:val="1"/>
        </w:numPr>
        <w:spacing w:beforeAutospacing="1" w:afterAutospacing="1" w:line="240" w:lineRule="auto"/>
        <w:rPr>
          <w:rFonts w:eastAsia="Times New Roman"/>
          <w:lang w:val="en-AU" w:eastAsia="en-AU"/>
        </w:rPr>
      </w:pPr>
      <w:r w:rsidRPr="273439B9">
        <w:rPr>
          <w:rFonts w:eastAsia="Times New Roman"/>
          <w:lang w:val="en-AU" w:eastAsia="en-AU"/>
        </w:rPr>
        <w:t>recovering from workout.</w:t>
      </w:r>
    </w:p>
    <w:p w14:paraId="5F9090B2" w14:textId="1B619549" w:rsidR="00A55F10" w:rsidRPr="002F4F94" w:rsidRDefault="00A55F10" w:rsidP="002F4F94">
      <w:pPr>
        <w:rPr>
          <w:lang w:eastAsia="en-AU"/>
        </w:rPr>
      </w:pPr>
      <w:r>
        <w:rPr>
          <w:lang w:eastAsia="en-AU"/>
        </w:rPr>
        <w:t xml:space="preserve">The operation of the </w:t>
      </w:r>
      <w:r w:rsidR="002F4F94" w:rsidRPr="00A134F8">
        <w:rPr>
          <w:lang w:eastAsia="en-AU"/>
        </w:rPr>
        <w:t>TG Act</w:t>
      </w:r>
      <w:r w:rsidR="002F4F94">
        <w:rPr>
          <w:lang w:eastAsia="en-AU"/>
        </w:rPr>
        <w:t xml:space="preserve"> </w:t>
      </w:r>
      <w:r>
        <w:rPr>
          <w:lang w:eastAsia="en-AU"/>
        </w:rPr>
        <w:t>and section 7 declaration</w:t>
      </w:r>
      <w:r w:rsidR="002F4F94">
        <w:rPr>
          <w:lang w:eastAsia="en-AU"/>
        </w:rPr>
        <w:t>s</w:t>
      </w:r>
      <w:r>
        <w:rPr>
          <w:lang w:eastAsia="en-AU"/>
        </w:rPr>
        <w:t xml:space="preserve"> are matters that fall within the responsibility of the TGA and are outside of FSANZ’s remit. As such, they are out of scope for P1010.  </w:t>
      </w:r>
    </w:p>
    <w:p w14:paraId="3B8DEE6F" w14:textId="47224B6C" w:rsidR="000467A3" w:rsidRDefault="000467A3" w:rsidP="00251931">
      <w:pPr>
        <w:pStyle w:val="Heading3"/>
      </w:pPr>
      <w:bookmarkStart w:id="18" w:name="_Toc122602199"/>
      <w:r>
        <w:t xml:space="preserve">Australia New Zealand Food Regulation </w:t>
      </w:r>
      <w:r w:rsidR="5C833D8E">
        <w:t xml:space="preserve">Ministerial </w:t>
      </w:r>
      <w:r>
        <w:t>Policy Guideline</w:t>
      </w:r>
      <w:bookmarkEnd w:id="18"/>
      <w:r>
        <w:t xml:space="preserve"> </w:t>
      </w:r>
    </w:p>
    <w:p w14:paraId="1A93D961" w14:textId="48F02D4A" w:rsidR="00816E2A" w:rsidRPr="00B26614" w:rsidRDefault="00816E2A" w:rsidP="4DBF8B01">
      <w:pPr>
        <w:spacing w:after="160"/>
        <w:rPr>
          <w:rStyle w:val="eop"/>
          <w:rFonts w:eastAsiaTheme="majorEastAsia"/>
          <w:color w:val="000000"/>
        </w:rPr>
      </w:pPr>
      <w:r w:rsidRPr="00B26614">
        <w:t>FSANZ must have regard to</w:t>
      </w:r>
      <w:r>
        <w:t xml:space="preserve"> guidelines developed by the Food Ministers’ </w:t>
      </w:r>
      <w:r w:rsidRPr="00B26614">
        <w:t xml:space="preserve">in </w:t>
      </w:r>
      <w:r>
        <w:t xml:space="preserve">reviewing, </w:t>
      </w:r>
      <w:r w:rsidRPr="00B26614">
        <w:t xml:space="preserve">developing and varying standards in the Code. The relevant policy </w:t>
      </w:r>
      <w:r>
        <w:t xml:space="preserve">for the purposes of </w:t>
      </w:r>
      <w:r w:rsidR="00486160">
        <w:t>P1010</w:t>
      </w:r>
      <w:r>
        <w:t xml:space="preserve"> </w:t>
      </w:r>
      <w:r w:rsidRPr="00B26614">
        <w:t xml:space="preserve">is the </w:t>
      </w:r>
      <w:r w:rsidRPr="1A44E134">
        <w:t>Policy Guideline on intent of Part 2.9 – Special Purpose Foods of the Australia New Zealand Food Standards Code</w:t>
      </w:r>
      <w:r>
        <w:rPr>
          <w:rStyle w:val="FootnoteReference"/>
        </w:rPr>
        <w:footnoteReference w:id="9"/>
      </w:r>
      <w:r w:rsidRPr="0049470E">
        <w:rPr>
          <w:iCs/>
        </w:rPr>
        <w:t>. </w:t>
      </w:r>
      <w:r w:rsidRPr="4DBF8B01">
        <w:rPr>
          <w:rStyle w:val="eop"/>
          <w:rFonts w:eastAsiaTheme="majorEastAsia"/>
        </w:rPr>
        <w:t> </w:t>
      </w:r>
    </w:p>
    <w:p w14:paraId="3507305C" w14:textId="2A6F2474" w:rsidR="00816E2A" w:rsidRDefault="00816E2A" w:rsidP="006B18A1">
      <w:pPr>
        <w:spacing w:after="160"/>
        <w:rPr>
          <w:rStyle w:val="eop"/>
          <w:rFonts w:eastAsiaTheme="majorEastAsia"/>
          <w:color w:val="000000"/>
        </w:rPr>
      </w:pPr>
      <w:r w:rsidRPr="00B26614">
        <w:t>The Specific Policy Principles of the guideline</w:t>
      </w:r>
      <w:r w:rsidR="00196A84">
        <w:t>s</w:t>
      </w:r>
      <w:r w:rsidRPr="00B26614">
        <w:t xml:space="preserve"> are:</w:t>
      </w:r>
      <w:r w:rsidRPr="00B26614">
        <w:rPr>
          <w:rStyle w:val="eop"/>
          <w:rFonts w:eastAsiaTheme="majorEastAsia"/>
          <w:color w:val="000000"/>
        </w:rPr>
        <w:t> </w:t>
      </w:r>
    </w:p>
    <w:p w14:paraId="6FD71641" w14:textId="77777777" w:rsidR="00816E2A" w:rsidRDefault="00816E2A" w:rsidP="006B18A1">
      <w:pPr>
        <w:spacing w:after="160"/>
        <w:rPr>
          <w:rStyle w:val="eop"/>
          <w:rFonts w:eastAsiaTheme="majorEastAsia"/>
          <w:color w:val="000000"/>
        </w:rPr>
      </w:pPr>
      <w:r>
        <w:rPr>
          <w:rStyle w:val="eop"/>
          <w:rFonts w:eastAsiaTheme="majorEastAsia"/>
          <w:color w:val="000000"/>
        </w:rPr>
        <w:t>Food Standards contained within Part 2.9 of the Code should maintain a clear distinction between special purpose foods and other foods as regulated elsewhere in the Code.</w:t>
      </w:r>
    </w:p>
    <w:p w14:paraId="297DBDD7" w14:textId="77777777" w:rsidR="00816E2A" w:rsidRPr="00B26614" w:rsidRDefault="00816E2A" w:rsidP="006B18A1">
      <w:pPr>
        <w:spacing w:after="160"/>
      </w:pPr>
      <w:r>
        <w:rPr>
          <w:rStyle w:val="eop"/>
          <w:rFonts w:eastAsiaTheme="majorEastAsia"/>
          <w:color w:val="000000"/>
        </w:rPr>
        <w:t>In particular:</w:t>
      </w:r>
    </w:p>
    <w:p w14:paraId="57E8AF41" w14:textId="77777777" w:rsidR="00816E2A" w:rsidRPr="00B26614" w:rsidRDefault="00816E2A" w:rsidP="00816E2A">
      <w:pPr>
        <w:pStyle w:val="FSBullet1"/>
        <w:numPr>
          <w:ilvl w:val="0"/>
          <w:numId w:val="14"/>
        </w:numPr>
        <w:spacing w:line="259" w:lineRule="auto"/>
        <w:rPr>
          <w:lang w:val="en-AU" w:eastAsia="en-AU"/>
        </w:rPr>
      </w:pPr>
      <w:r w:rsidRPr="40DD6DDF">
        <w:rPr>
          <w:lang w:val="en-AU" w:eastAsia="en-AU"/>
        </w:rPr>
        <w:t>Special purpose foods should be targeted only to those population groups satisfying the definition presented in the Scope/Aim section</w:t>
      </w:r>
      <w:r>
        <w:rPr>
          <w:lang w:val="en-AU" w:eastAsia="en-AU"/>
        </w:rPr>
        <w:t>.</w:t>
      </w:r>
    </w:p>
    <w:p w14:paraId="14983BC4" w14:textId="77777777" w:rsidR="00816E2A" w:rsidRPr="00B26614" w:rsidRDefault="00816E2A" w:rsidP="00816E2A">
      <w:pPr>
        <w:pStyle w:val="FSBullet1"/>
        <w:numPr>
          <w:ilvl w:val="0"/>
          <w:numId w:val="14"/>
        </w:numPr>
        <w:spacing w:line="259" w:lineRule="auto"/>
        <w:rPr>
          <w:lang w:val="en-AU" w:eastAsia="en-AU"/>
        </w:rPr>
      </w:pPr>
      <w:r w:rsidRPr="40DD6DDF">
        <w:rPr>
          <w:lang w:val="en-AU" w:eastAsia="en-AU"/>
        </w:rPr>
        <w:t>The composition of special purpose food should be consistent with the intended purpose. </w:t>
      </w:r>
    </w:p>
    <w:p w14:paraId="2F3977F1" w14:textId="77777777" w:rsidR="00816E2A" w:rsidRPr="00B26614" w:rsidRDefault="00816E2A" w:rsidP="00816E2A">
      <w:pPr>
        <w:pStyle w:val="FSBullet1"/>
        <w:numPr>
          <w:ilvl w:val="0"/>
          <w:numId w:val="14"/>
        </w:numPr>
        <w:spacing w:line="259" w:lineRule="auto"/>
        <w:rPr>
          <w:lang w:val="en-AU" w:eastAsia="en-AU"/>
        </w:rPr>
      </w:pPr>
      <w:r w:rsidRPr="40DD6DDF">
        <w:rPr>
          <w:lang w:val="en-AU" w:eastAsia="en-AU"/>
        </w:rPr>
        <w:t>Adequate information should be provided, including through labelling and advertising of special purpose foods, to: </w:t>
      </w:r>
    </w:p>
    <w:p w14:paraId="4ABB12B2" w14:textId="77777777" w:rsidR="00816E2A" w:rsidRPr="00B26614" w:rsidRDefault="00816E2A" w:rsidP="00816E2A">
      <w:pPr>
        <w:pStyle w:val="FSBullet1"/>
        <w:numPr>
          <w:ilvl w:val="1"/>
          <w:numId w:val="14"/>
        </w:numPr>
        <w:spacing w:line="259" w:lineRule="auto"/>
        <w:rPr>
          <w:lang w:val="en-AU" w:eastAsia="en-AU"/>
        </w:rPr>
      </w:pPr>
      <w:r w:rsidRPr="00B26614">
        <w:rPr>
          <w:lang w:val="en-AU" w:eastAsia="en-AU"/>
        </w:rPr>
        <w:t>assist consumer understanding of the specific nature of the food, the intended population group and intended special purpose of the food; and </w:t>
      </w:r>
    </w:p>
    <w:p w14:paraId="05C90EB5" w14:textId="77777777" w:rsidR="00816E2A" w:rsidRPr="00B26614" w:rsidRDefault="00816E2A" w:rsidP="00816E2A">
      <w:pPr>
        <w:pStyle w:val="FSBullet1"/>
        <w:numPr>
          <w:ilvl w:val="1"/>
          <w:numId w:val="14"/>
        </w:numPr>
        <w:spacing w:line="259" w:lineRule="auto"/>
        <w:rPr>
          <w:lang w:val="en-AU" w:eastAsia="en-AU"/>
        </w:rPr>
      </w:pPr>
      <w:r w:rsidRPr="00B26614">
        <w:rPr>
          <w:lang w:val="en-AU" w:eastAsia="en-AU"/>
        </w:rPr>
        <w:t>provide for safe use by the intended population and to help prevent inappropriate use by those for whom the special purpose food is not intended. </w:t>
      </w:r>
    </w:p>
    <w:p w14:paraId="0D45F9A4" w14:textId="77777777" w:rsidR="00816E2A" w:rsidRPr="00B26614" w:rsidRDefault="00816E2A" w:rsidP="006B18A1">
      <w:pPr>
        <w:pStyle w:val="FSBullet1"/>
        <w:numPr>
          <w:ilvl w:val="0"/>
          <w:numId w:val="14"/>
        </w:numPr>
        <w:spacing w:after="160" w:line="259" w:lineRule="auto"/>
        <w:rPr>
          <w:lang w:val="en-AU" w:eastAsia="en-AU"/>
        </w:rPr>
      </w:pPr>
      <w:r w:rsidRPr="40DD6DDF">
        <w:rPr>
          <w:lang w:val="en-AU" w:eastAsia="en-AU"/>
        </w:rPr>
        <w:lastRenderedPageBreak/>
        <w:t>Consideration, where appropriate, should be given to application of controls to restrict access to a special purpose food on the basis of risk to public health and safety. </w:t>
      </w:r>
    </w:p>
    <w:p w14:paraId="5F2AD140" w14:textId="53A7BA76" w:rsidR="00816E2A" w:rsidRPr="00D16567" w:rsidRDefault="00816E2A" w:rsidP="4DBF8B01">
      <w:pPr>
        <w:spacing w:after="160"/>
        <w:rPr>
          <w:rFonts w:eastAsiaTheme="majorEastAsia"/>
          <w:color w:val="000000" w:themeColor="text1"/>
        </w:rPr>
      </w:pPr>
      <w:r>
        <w:t>Additional policy guidance provides that where relevant, standards contained in Part 2.9 of the Code should be consistent with internationally recognised codes of practice, such as Codex and World Health Organization (WHO) recommendations/guidelines, relating to the manufacture and/or labelling of special purpose foods.</w:t>
      </w:r>
      <w:r w:rsidRPr="4DBF8B01">
        <w:rPr>
          <w:rStyle w:val="eop"/>
          <w:rFonts w:eastAsiaTheme="majorEastAsia"/>
          <w:color w:val="000000" w:themeColor="text1"/>
        </w:rPr>
        <w:t> </w:t>
      </w:r>
    </w:p>
    <w:p w14:paraId="7B70CCF5" w14:textId="18B88C36" w:rsidR="00A05DF6" w:rsidRDefault="00A05DF6" w:rsidP="00324B88">
      <w:pPr>
        <w:pStyle w:val="Heading2"/>
      </w:pPr>
      <w:bookmarkStart w:id="19" w:name="_Toc122602200"/>
      <w:r>
        <w:t>International Regulations</w:t>
      </w:r>
      <w:bookmarkEnd w:id="19"/>
    </w:p>
    <w:p w14:paraId="165B0829" w14:textId="2D2DAD1A" w:rsidR="00A05DF6" w:rsidRDefault="00A05DF6" w:rsidP="273439B9">
      <w:pPr>
        <w:keepNext/>
        <w:spacing w:after="160"/>
        <w:rPr>
          <w:lang w:eastAsia="en-AU"/>
        </w:rPr>
      </w:pPr>
      <w:r w:rsidRPr="273439B9">
        <w:rPr>
          <w:lang w:eastAsia="en-AU"/>
        </w:rPr>
        <w:t>Regulations vary internationally</w:t>
      </w:r>
      <w:r w:rsidR="177F1E1D" w:rsidRPr="273439B9">
        <w:rPr>
          <w:lang w:eastAsia="en-AU"/>
        </w:rPr>
        <w:t xml:space="preserve"> and at present, sports foods are rarely regulated as foods that are used exclusively for sports performance. C</w:t>
      </w:r>
      <w:r w:rsidRPr="273439B9">
        <w:rPr>
          <w:lang w:eastAsia="en-AU"/>
        </w:rPr>
        <w:t>ountries</w:t>
      </w:r>
      <w:r w:rsidR="683A7A47" w:rsidRPr="273439B9">
        <w:rPr>
          <w:lang w:eastAsia="en-AU"/>
        </w:rPr>
        <w:t xml:space="preserve"> more commonly</w:t>
      </w:r>
      <w:r w:rsidRPr="273439B9">
        <w:rPr>
          <w:lang w:eastAsia="en-AU"/>
        </w:rPr>
        <w:t xml:space="preserve"> categoris</w:t>
      </w:r>
      <w:r w:rsidR="3011321B" w:rsidRPr="273439B9">
        <w:rPr>
          <w:lang w:eastAsia="en-AU"/>
        </w:rPr>
        <w:t>e</w:t>
      </w:r>
      <w:r w:rsidRPr="273439B9">
        <w:rPr>
          <w:lang w:eastAsia="en-AU"/>
        </w:rPr>
        <w:t xml:space="preserve"> sports-related products either within their general food regulation provisions or as </w:t>
      </w:r>
      <w:r w:rsidR="3EF23CEC" w:rsidRPr="273439B9">
        <w:rPr>
          <w:lang w:eastAsia="en-AU"/>
        </w:rPr>
        <w:t xml:space="preserve">broadly defined </w:t>
      </w:r>
      <w:r w:rsidRPr="273439B9">
        <w:rPr>
          <w:lang w:eastAsia="en-AU"/>
        </w:rPr>
        <w:t xml:space="preserve">special purpose foods, dietary or nutritional supplements. </w:t>
      </w:r>
      <w:bookmarkStart w:id="20" w:name="_Toc120006632"/>
      <w:bookmarkStart w:id="21" w:name="_Toc120112197"/>
      <w:bookmarkStart w:id="22" w:name="_Toc120275080"/>
      <w:bookmarkEnd w:id="20"/>
      <w:bookmarkEnd w:id="21"/>
      <w:bookmarkEnd w:id="22"/>
    </w:p>
    <w:p w14:paraId="7AE2C5F6" w14:textId="1FCF3928" w:rsidR="00A05DF6" w:rsidRDefault="00A05DF6" w:rsidP="00251931">
      <w:pPr>
        <w:pStyle w:val="Heading3"/>
      </w:pPr>
      <w:bookmarkStart w:id="23" w:name="_Toc122602201"/>
      <w:r>
        <w:t>Codex</w:t>
      </w:r>
      <w:bookmarkEnd w:id="23"/>
    </w:p>
    <w:p w14:paraId="3BA26276" w14:textId="725BA84A" w:rsidR="00A05DF6" w:rsidRDefault="00A05DF6" w:rsidP="006B18A1">
      <w:pPr>
        <w:spacing w:after="160"/>
      </w:pPr>
      <w:r>
        <w:t xml:space="preserve">The Codex Alimentarius Commission (Codex) is the international food standards setting body established by the United Nation’s Food Agriculture Organization (FAO) and </w:t>
      </w:r>
      <w:r w:rsidR="00030EBE">
        <w:t xml:space="preserve">the </w:t>
      </w:r>
      <w:r>
        <w:t xml:space="preserve">WHO. There is no specific Codex food standard for sports foods, however several generic Codex standards and guidelines contain provisions for labelling, claims and vitamin and mineral supplements which </w:t>
      </w:r>
      <w:r w:rsidR="5E3F9B69">
        <w:t>are</w:t>
      </w:r>
      <w:r>
        <w:t xml:space="preserve"> relevant. </w:t>
      </w:r>
    </w:p>
    <w:p w14:paraId="5FA827BA" w14:textId="1278447C" w:rsidR="00A05DF6" w:rsidRPr="00410DDF" w:rsidRDefault="00A05DF6" w:rsidP="006B18A1">
      <w:pPr>
        <w:spacing w:after="160"/>
        <w:rPr>
          <w:rStyle w:val="eop"/>
        </w:rPr>
      </w:pPr>
      <w:r w:rsidRPr="00B26614">
        <w:t>The Codex Guidelines for Vitamin and Mineral Food Supplements</w:t>
      </w:r>
      <w:r w:rsidRPr="00B26614">
        <w:rPr>
          <w:rStyle w:val="FootnoteReference"/>
        </w:rPr>
        <w:footnoteReference w:id="10"/>
      </w:r>
      <w:r w:rsidRPr="00B26614">
        <w:t xml:space="preserve"> covers supplements in forms such as capsules, tablets, powders, and solutions</w:t>
      </w:r>
      <w:r w:rsidR="00B8572F">
        <w:t>,</w:t>
      </w:r>
      <w:r>
        <w:t xml:space="preserve"> </w:t>
      </w:r>
      <w:r w:rsidR="00B8572F">
        <w:t>the latter two</w:t>
      </w:r>
      <w:r>
        <w:t xml:space="preserve"> are similar to foods regulated under </w:t>
      </w:r>
      <w:r w:rsidR="00EC099F">
        <w:t xml:space="preserve">Standard </w:t>
      </w:r>
      <w:r>
        <w:t>2.9.4.</w:t>
      </w:r>
      <w:r w:rsidRPr="00B26614">
        <w:t xml:space="preserve"> Minimum levels of addition for vitamins and minerals are set at 15% of the recommended daily intake and maximum amounts are based on upper safe levels established by scientific risk assessment.</w:t>
      </w:r>
      <w:r w:rsidRPr="00B26614">
        <w:rPr>
          <w:rStyle w:val="eop"/>
          <w:color w:val="000000"/>
          <w:shd w:val="clear" w:color="auto" w:fill="FFFFFF"/>
        </w:rPr>
        <w:t> </w:t>
      </w:r>
    </w:p>
    <w:p w14:paraId="5108E2C3" w14:textId="77777777" w:rsidR="00A05DF6" w:rsidRPr="00CD18A5" w:rsidRDefault="00A05DF6" w:rsidP="006B18A1">
      <w:pPr>
        <w:spacing w:after="160"/>
        <w:textAlignment w:val="baseline"/>
        <w:rPr>
          <w:rFonts w:ascii="Segoe UI" w:hAnsi="Segoe UI" w:cs="Segoe UI"/>
          <w:sz w:val="18"/>
          <w:szCs w:val="18"/>
          <w:lang w:val="en-AU" w:eastAsia="en-AU"/>
        </w:rPr>
      </w:pPr>
      <w:r w:rsidRPr="00CD18A5">
        <w:rPr>
          <w:lang w:eastAsia="en-AU"/>
        </w:rPr>
        <w:t>The Guidelines align the labelling requirements for vitamin and mineral food supplements with other Codex labelling requirements. The labelling requirements include naming the product ‘food supplement’, providing vitamin and mineral information, the recommended quantity and frequency of use, and a statement that the product should be stored out of reach of young children.</w:t>
      </w:r>
      <w:r w:rsidRPr="00CD18A5">
        <w:rPr>
          <w:lang w:val="en-AU" w:eastAsia="en-AU"/>
        </w:rPr>
        <w:t> </w:t>
      </w:r>
    </w:p>
    <w:p w14:paraId="6BD07D2F" w14:textId="07AF82D7" w:rsidR="00A05DF6" w:rsidRPr="006B18A1" w:rsidRDefault="00A05DF6" w:rsidP="006B18A1">
      <w:pPr>
        <w:spacing w:after="160"/>
        <w:textAlignment w:val="baseline"/>
        <w:rPr>
          <w:rFonts w:ascii="Segoe UI" w:hAnsi="Segoe UI" w:cs="Segoe UI"/>
          <w:sz w:val="18"/>
          <w:szCs w:val="18"/>
          <w:lang w:val="en-AU" w:eastAsia="en-AU"/>
        </w:rPr>
      </w:pPr>
      <w:r w:rsidRPr="00CD18A5">
        <w:rPr>
          <w:lang w:val="en-AU" w:eastAsia="en-AU"/>
        </w:rPr>
        <w:t> </w:t>
      </w:r>
      <w:r w:rsidRPr="00CD18A5">
        <w:rPr>
          <w:lang w:eastAsia="en-AU"/>
        </w:rPr>
        <w:t xml:space="preserve">The </w:t>
      </w:r>
      <w:r w:rsidRPr="00CD18A5">
        <w:rPr>
          <w:i/>
          <w:iCs/>
          <w:lang w:eastAsia="en-AU"/>
        </w:rPr>
        <w:t>General Principles for the Addition of Essential Nutrients to Food</w:t>
      </w:r>
      <w:r>
        <w:rPr>
          <w:i/>
          <w:iCs/>
          <w:lang w:eastAsia="en-AU"/>
        </w:rPr>
        <w:t>s</w:t>
      </w:r>
      <w:r>
        <w:rPr>
          <w:rStyle w:val="FootnoteReference"/>
          <w:i/>
          <w:iCs/>
          <w:lang w:eastAsia="en-AU"/>
        </w:rPr>
        <w:footnoteReference w:id="11"/>
      </w:r>
      <w:r w:rsidRPr="00CD18A5">
        <w:rPr>
          <w:lang w:eastAsia="en-AU"/>
        </w:rPr>
        <w:t xml:space="preserve"> addresses the appropriate nutrient composition of a special purpose food, and adding essential nutrients to foods for restoration, nutritional equivalence and fortification purposes.</w:t>
      </w:r>
      <w:r w:rsidRPr="00CD18A5">
        <w:rPr>
          <w:lang w:val="en-AU" w:eastAsia="en-AU"/>
        </w:rPr>
        <w:t> </w:t>
      </w:r>
    </w:p>
    <w:p w14:paraId="3E6A573B" w14:textId="129C8478" w:rsidR="00A05DF6" w:rsidRDefault="00A05DF6" w:rsidP="00251931">
      <w:pPr>
        <w:pStyle w:val="Heading3"/>
      </w:pPr>
      <w:bookmarkStart w:id="24" w:name="_Toc122602202"/>
      <w:r>
        <w:t>European Union</w:t>
      </w:r>
      <w:bookmarkEnd w:id="24"/>
    </w:p>
    <w:p w14:paraId="7657BC25" w14:textId="6BED3F86" w:rsidR="00A05DF6" w:rsidRPr="00B26614" w:rsidRDefault="00A05DF6" w:rsidP="006B18A1">
      <w:pPr>
        <w:spacing w:after="160"/>
      </w:pPr>
      <w:r>
        <w:t>Within the European Union (EU), s</w:t>
      </w:r>
      <w:r w:rsidRPr="00B26614">
        <w:t>ports</w:t>
      </w:r>
      <w:r>
        <w:t xml:space="preserve"> </w:t>
      </w:r>
      <w:r w:rsidRPr="00B26614">
        <w:t>foods are primarily regulated at the national level</w:t>
      </w:r>
      <w:r>
        <w:t>.</w:t>
      </w:r>
      <w:r w:rsidRPr="00B26614">
        <w:t xml:space="preserve"> In July 2016, the European Commission (EC) declared that sports foods will be considered as </w:t>
      </w:r>
      <w:r w:rsidR="3CDE2C36" w:rsidRPr="00B26614">
        <w:t>‘</w:t>
      </w:r>
      <w:r w:rsidRPr="00B26614">
        <w:t>foods for normal consumption</w:t>
      </w:r>
      <w:r w:rsidR="6AEB6663" w:rsidRPr="00B26614">
        <w:t>’ (as opposed to sports-specific foods)</w:t>
      </w:r>
      <w:r w:rsidRPr="00B26614">
        <w:rPr>
          <w:rStyle w:val="FootnoteReference"/>
          <w:rFonts w:eastAsia="Arial"/>
          <w:color w:val="000000" w:themeColor="text1"/>
        </w:rPr>
        <w:footnoteReference w:id="12"/>
      </w:r>
      <w:r w:rsidRPr="00B26614">
        <w:t xml:space="preserve"> and </w:t>
      </w:r>
      <w:r w:rsidR="4C7BE326" w:rsidRPr="00B26614">
        <w:t xml:space="preserve">thus </w:t>
      </w:r>
      <w:r>
        <w:t>regulated</w:t>
      </w:r>
      <w:r w:rsidRPr="00B26614">
        <w:t xml:space="preserve"> as either a food supplement</w:t>
      </w:r>
      <w:r w:rsidRPr="00B26614">
        <w:rPr>
          <w:rStyle w:val="FootnoteReference"/>
          <w:rFonts w:eastAsia="Arial"/>
          <w:color w:val="000000" w:themeColor="text1"/>
        </w:rPr>
        <w:footnoteReference w:id="13"/>
      </w:r>
      <w:r w:rsidRPr="00B26614">
        <w:t xml:space="preserve"> or fortified food</w:t>
      </w:r>
      <w:r w:rsidRPr="00B26614">
        <w:rPr>
          <w:rStyle w:val="FootnoteReference"/>
          <w:rFonts w:eastAsia="Arial"/>
          <w:color w:val="000000" w:themeColor="text1"/>
        </w:rPr>
        <w:footnoteReference w:id="14"/>
      </w:r>
      <w:r w:rsidRPr="00B26614">
        <w:t xml:space="preserve">. </w:t>
      </w:r>
    </w:p>
    <w:p w14:paraId="1ED9DB05" w14:textId="28F51D95" w:rsidR="00A05DF6" w:rsidRPr="00B26614" w:rsidRDefault="00A05DF6" w:rsidP="006B18A1">
      <w:pPr>
        <w:spacing w:after="160"/>
      </w:pPr>
      <w:r w:rsidRPr="00B26614">
        <w:t xml:space="preserve">Sports </w:t>
      </w:r>
      <w:r>
        <w:t xml:space="preserve">related </w:t>
      </w:r>
      <w:r w:rsidRPr="00B26614">
        <w:t xml:space="preserve">foods </w:t>
      </w:r>
      <w:r>
        <w:t xml:space="preserve">in the EU </w:t>
      </w:r>
      <w:r w:rsidRPr="00B26614">
        <w:t>must comply with several horizontal food laws</w:t>
      </w:r>
      <w:r>
        <w:t xml:space="preserve"> (general rules </w:t>
      </w:r>
      <w:r>
        <w:lastRenderedPageBreak/>
        <w:t>addressing common aspects for ‘foodstuffs’)</w:t>
      </w:r>
      <w:r w:rsidR="55A0B224">
        <w:t>,</w:t>
      </w:r>
      <w:r w:rsidRPr="00B26614">
        <w:t xml:space="preserve"> nutrition and health claim labelling</w:t>
      </w:r>
      <w:r w:rsidRPr="00713727">
        <w:rPr>
          <w:rStyle w:val="FootnoteReference"/>
          <w:rFonts w:eastAsia="Arial"/>
          <w:color w:val="000000" w:themeColor="text1"/>
        </w:rPr>
        <w:footnoteReference w:id="15"/>
      </w:r>
      <w:r w:rsidRPr="00713727">
        <w:rPr>
          <w:vertAlign w:val="superscript"/>
        </w:rPr>
        <w:t>,</w:t>
      </w:r>
      <w:r w:rsidRPr="00713727">
        <w:rPr>
          <w:rStyle w:val="FootnoteReference"/>
          <w:rFonts w:eastAsia="Arial"/>
          <w:color w:val="000000" w:themeColor="text1"/>
        </w:rPr>
        <w:footnoteReference w:id="16"/>
      </w:r>
      <w:r w:rsidRPr="00713727">
        <w:rPr>
          <w:vertAlign w:val="superscript"/>
        </w:rPr>
        <w:t>,</w:t>
      </w:r>
      <w:r w:rsidRPr="00713727">
        <w:rPr>
          <w:rStyle w:val="FootnoteReference"/>
          <w:rFonts w:eastAsia="Arial"/>
          <w:color w:val="000000" w:themeColor="text1"/>
        </w:rPr>
        <w:footnoteReference w:id="17"/>
      </w:r>
      <w:r w:rsidRPr="00713727">
        <w:rPr>
          <w:vertAlign w:val="superscript"/>
        </w:rPr>
        <w:t>,</w:t>
      </w:r>
      <w:r w:rsidRPr="00713727">
        <w:rPr>
          <w:rStyle w:val="FootnoteReference"/>
          <w:rFonts w:eastAsia="Arial"/>
          <w:color w:val="000000" w:themeColor="text1"/>
        </w:rPr>
        <w:footnoteReference w:id="18"/>
      </w:r>
      <w:r w:rsidRPr="00713727">
        <w:rPr>
          <w:vertAlign w:val="superscript"/>
        </w:rPr>
        <w:t>,</w:t>
      </w:r>
      <w:r w:rsidRPr="00713727">
        <w:rPr>
          <w:rStyle w:val="FootnoteReference"/>
          <w:rFonts w:eastAsia="Arial"/>
          <w:color w:val="000000" w:themeColor="text1"/>
        </w:rPr>
        <w:footnoteReference w:id="19"/>
      </w:r>
      <w:r w:rsidRPr="00B26614">
        <w:t xml:space="preserve"> and novel foods</w:t>
      </w:r>
      <w:r w:rsidR="007C32A1">
        <w:rPr>
          <w:rStyle w:val="FootnoteReference"/>
          <w:rFonts w:eastAsia="Arial"/>
        </w:rPr>
        <w:footnoteReference w:id="20"/>
      </w:r>
      <w:r w:rsidR="34D4CF4C">
        <w:t xml:space="preserve">. </w:t>
      </w:r>
      <w:r>
        <w:t>For example, a</w:t>
      </w:r>
      <w:r w:rsidRPr="00B26614">
        <w:t xml:space="preserve">s per EC Regulation 1925/2006 </w:t>
      </w:r>
      <w:r w:rsidRPr="273439B9">
        <w:rPr>
          <w:i/>
          <w:iCs/>
        </w:rPr>
        <w:t>(fortified food)</w:t>
      </w:r>
      <w:r w:rsidRPr="00B26614">
        <w:t xml:space="preserve">, </w:t>
      </w:r>
      <w:r>
        <w:t>‘</w:t>
      </w:r>
      <w:r w:rsidRPr="00B26614">
        <w:t>when a vitamin or a mineral is added to foods the total amount of the vitamin or mineral present, for whatever purpose, in the food as sold shall not exceed maximum amounts</w:t>
      </w:r>
      <w:r>
        <w:t>’</w:t>
      </w:r>
      <w:r w:rsidRPr="00B26614">
        <w:t xml:space="preserve">. However, maximum amounts are yet to be set. Further, the addition of a vitamin or a mineral to a food </w:t>
      </w:r>
      <w:r>
        <w:t>‘</w:t>
      </w:r>
      <w:r w:rsidRPr="00B26614">
        <w:t xml:space="preserve">shall result in the presence of that vitamin or mineral in the food in at least a significant amount where this is defined according to </w:t>
      </w:r>
      <w:r>
        <w:t xml:space="preserve">the </w:t>
      </w:r>
      <w:r w:rsidRPr="00B26614">
        <w:t>Annex</w:t>
      </w:r>
      <w:r>
        <w:t xml:space="preserve"> to Directive 90/496/EEC</w:t>
      </w:r>
      <w:r w:rsidR="002B5925">
        <w:t>’</w:t>
      </w:r>
      <w:r>
        <w:t>.</w:t>
      </w:r>
      <w:r w:rsidRPr="00B26614" w:rsidDel="00860E56">
        <w:t xml:space="preserve">  </w:t>
      </w:r>
    </w:p>
    <w:p w14:paraId="1992BD26" w14:textId="6E6BE811" w:rsidR="00A05DF6" w:rsidRDefault="00A05DF6" w:rsidP="00251931">
      <w:pPr>
        <w:pStyle w:val="Heading3"/>
      </w:pPr>
      <w:bookmarkStart w:id="25" w:name="_Toc122602203"/>
      <w:r>
        <w:t>United States</w:t>
      </w:r>
      <w:bookmarkEnd w:id="25"/>
    </w:p>
    <w:p w14:paraId="2FE708E3" w14:textId="07AAFA35" w:rsidR="00A05DF6" w:rsidRPr="00AA4D74" w:rsidRDefault="00A05DF6" w:rsidP="006B18A1">
      <w:pPr>
        <w:spacing w:after="160"/>
      </w:pPr>
      <w:r>
        <w:t>In the United States (US), sports  foods are classified as dietary supplements. Some of the sports foods and drinks typical of those on the market in Australia and New Zealand would be regulated as food and others as dietary supplements in the US. Dietary supplements in the US may be found in many forms, such as tablets, capsules, powder, liquids and bars.</w:t>
      </w:r>
    </w:p>
    <w:p w14:paraId="4D4CC554" w14:textId="77777777" w:rsidR="00A05DF6" w:rsidRPr="00AA4D74" w:rsidRDefault="00A05DF6" w:rsidP="006B18A1">
      <w:pPr>
        <w:spacing w:after="160"/>
      </w:pPr>
      <w:r w:rsidRPr="00AA4D74">
        <w:t xml:space="preserve">The US Food and Drug Administration (FDA) regulates both finished dietary supplement products and dietary ingredients. This regulation is different to those covering general foods and medicines. The US </w:t>
      </w:r>
      <w:r w:rsidRPr="00091FD7">
        <w:rPr>
          <w:i/>
          <w:iCs/>
        </w:rPr>
        <w:t>Federal Food, Drug, and Cosmetic Act</w:t>
      </w:r>
      <w:r w:rsidRPr="00AA4D74">
        <w:t xml:space="preserve"> (FD&amp;C Act) was amended in 1994 by the </w:t>
      </w:r>
      <w:r w:rsidRPr="00091FD7">
        <w:rPr>
          <w:i/>
          <w:iCs/>
        </w:rPr>
        <w:t>Dietary Supplement Health and Education Act</w:t>
      </w:r>
      <w:r w:rsidRPr="00AA4D74">
        <w:t xml:space="preserve"> (DSHEA), which defined ‘dietary supplement’ and set out the FDA’s authority regarding such products. Under existing law the FDA does not have the authority to approve the safety, effectiveness or labelling of dietary supplements before they are sold to the public. </w:t>
      </w:r>
    </w:p>
    <w:p w14:paraId="153B11B1" w14:textId="77777777" w:rsidR="00A05DF6" w:rsidRPr="004E572E" w:rsidRDefault="00A05DF6" w:rsidP="006B18A1">
      <w:pPr>
        <w:spacing w:after="160"/>
      </w:pPr>
      <w:r w:rsidRPr="004E572E">
        <w:t xml:space="preserve">The FD&amp;C Act requires that manufacturers and distributors who wish to market dietary supplements that contain ‘new dietary ingredients’ that have not been present in the food supply as an article used for food, or a dietary supplement containing such a new dietary ingredient, must notify the FDA about these ingredients. Generally, the notification must include information that is the basis on which the manufacturer or distributor has concluded that a dietary supplement containing a new dietary ingredient will reasonably be expected to be safe under conditions of use recommended or suggested in the labelling. </w:t>
      </w:r>
    </w:p>
    <w:p w14:paraId="1622758A" w14:textId="77777777" w:rsidR="00A05DF6" w:rsidRPr="00AA4D74" w:rsidRDefault="00A05DF6" w:rsidP="006B18A1">
      <w:pPr>
        <w:spacing w:after="160"/>
      </w:pPr>
      <w:r w:rsidRPr="004E572E">
        <w:t xml:space="preserve">The FDA’s role in regulating dietary supplements </w:t>
      </w:r>
      <w:r>
        <w:t>typically</w:t>
      </w:r>
      <w:r w:rsidRPr="004E572E">
        <w:t xml:space="preserve"> begins after the product enters the marketplace. The FDA periodically inspects manufacturing facilities to ensure they meet applicable manufacturing and labelling requirements; reviews product labels and other labelling information to ensure products are appropriately labelled and do not make claims that render the products </w:t>
      </w:r>
      <w:r>
        <w:t xml:space="preserve">as </w:t>
      </w:r>
      <w:r w:rsidRPr="004E572E">
        <w:t xml:space="preserve">drugs; and monitors adverse event reports and other product complaints for information about the safety of products. If a product is found not to comply, the FDA can work with the company to bring the product into compliance or ask the company to voluntarily recall the product.  The </w:t>
      </w:r>
      <w:r w:rsidRPr="00AA4D74">
        <w:t xml:space="preserve">FDA also has the authority to take action to remove a dangerous product from the market. </w:t>
      </w:r>
    </w:p>
    <w:p w14:paraId="4303F87D" w14:textId="29E59978" w:rsidR="00A05DF6" w:rsidRDefault="00A05DF6" w:rsidP="006B18A1">
      <w:pPr>
        <w:spacing w:after="160"/>
      </w:pPr>
      <w:r w:rsidRPr="00B26614">
        <w:t>The FDA prohibits a small number of ingredients</w:t>
      </w:r>
      <w:r w:rsidRPr="00B26614">
        <w:rPr>
          <w:rStyle w:val="FootnoteReference"/>
        </w:rPr>
        <w:footnoteReference w:id="21"/>
      </w:r>
      <w:r w:rsidRPr="00B26614">
        <w:t xml:space="preserve"> such as androstenedione, </w:t>
      </w:r>
      <w:proofErr w:type="spellStart"/>
      <w:r w:rsidRPr="00B26614">
        <w:t>dimethylamylamine</w:t>
      </w:r>
      <w:proofErr w:type="spellEnd"/>
      <w:r w:rsidRPr="00B26614">
        <w:t xml:space="preserve"> (DMAA) and ephedra. </w:t>
      </w:r>
      <w:r w:rsidRPr="00B26614">
        <w:rPr>
          <w:lang w:val="en"/>
        </w:rPr>
        <w:t>The FDA</w:t>
      </w:r>
      <w:r w:rsidR="49C651B3" w:rsidRPr="00B26614">
        <w:rPr>
          <w:lang w:val="en"/>
        </w:rPr>
        <w:t xml:space="preserve"> Dietary Supplement Ingredient Advisory List</w:t>
      </w:r>
      <w:r w:rsidRPr="273439B9">
        <w:rPr>
          <w:rStyle w:val="FootnoteReference"/>
          <w:lang w:val="en"/>
        </w:rPr>
        <w:footnoteReference w:id="22"/>
      </w:r>
      <w:r w:rsidR="49C651B3" w:rsidRPr="00B26614">
        <w:rPr>
          <w:lang w:val="en"/>
        </w:rPr>
        <w:t xml:space="preserve"> </w:t>
      </w:r>
      <w:r w:rsidRPr="00B26614">
        <w:rPr>
          <w:lang w:val="en"/>
        </w:rPr>
        <w:t>also works to alert the public when the FDA identifies an ingredient of concern in products marketed as dietary supplements but these products can remain on the market.</w:t>
      </w:r>
    </w:p>
    <w:p w14:paraId="0A60A696" w14:textId="3AF14A10" w:rsidR="00A05DF6" w:rsidRDefault="00A05DF6" w:rsidP="006B18A1">
      <w:pPr>
        <w:spacing w:after="160"/>
      </w:pPr>
      <w:r>
        <w:t xml:space="preserve">This way of regulating </w:t>
      </w:r>
      <w:r w:rsidR="49A7D4A0">
        <w:t>foods</w:t>
      </w:r>
      <w:r w:rsidR="191D5DF1">
        <w:t xml:space="preserve"> (</w:t>
      </w:r>
      <w:r w:rsidR="49A7D4A0">
        <w:t xml:space="preserve">including </w:t>
      </w:r>
      <w:r>
        <w:t>sports foods</w:t>
      </w:r>
      <w:r w:rsidR="03D08B2D">
        <w:t>)</w:t>
      </w:r>
      <w:r>
        <w:t xml:space="preserve"> in the US means there can be significant differences in the composition and labelling of sports foods between the US, </w:t>
      </w:r>
      <w:r>
        <w:lastRenderedPageBreak/>
        <w:t xml:space="preserve">Australia and New Zealand. </w:t>
      </w:r>
    </w:p>
    <w:p w14:paraId="3CB2BC1A" w14:textId="6D960795" w:rsidR="00A05DF6" w:rsidRDefault="00A05DF6" w:rsidP="00251931">
      <w:pPr>
        <w:pStyle w:val="Heading3"/>
      </w:pPr>
      <w:bookmarkStart w:id="26" w:name="_Toc122602204"/>
      <w:r>
        <w:t>Canada</w:t>
      </w:r>
      <w:bookmarkEnd w:id="26"/>
    </w:p>
    <w:p w14:paraId="3C9FAEBA" w14:textId="454D86EA" w:rsidR="00A05DF6" w:rsidRDefault="00A05DF6" w:rsidP="006B18A1">
      <w:pPr>
        <w:spacing w:after="160"/>
        <w:rPr>
          <w:lang w:eastAsia="en-AU"/>
        </w:rPr>
      </w:pPr>
      <w:r>
        <w:t>Health Canada classifies sports  foods as dietary supplements and regulates them as Natural Health Products (NHP). All NHPs must have a product license before they can be sold in Canada. There are three streams of approval for NHPs, with varying assessment timeframes depending on whether a Canadian monograph exists. An</w:t>
      </w:r>
      <w:r w:rsidR="2918C44C">
        <w:t xml:space="preserve"> NHP monograph for sports supplements</w:t>
      </w:r>
      <w:r w:rsidRPr="273439B9">
        <w:rPr>
          <w:rStyle w:val="FootnoteReference"/>
        </w:rPr>
        <w:footnoteReference w:id="23"/>
      </w:r>
      <w:r>
        <w:t xml:space="preserve"> provides a list of what these products can contain.</w:t>
      </w:r>
      <w:r w:rsidRPr="273439B9">
        <w:rPr>
          <w:lang w:eastAsia="en-AU"/>
        </w:rPr>
        <w:t xml:space="preserve"> The monograph allows for different requirements </w:t>
      </w:r>
      <w:r w:rsidR="086B36E5" w:rsidRPr="273439B9">
        <w:rPr>
          <w:lang w:eastAsia="en-AU"/>
        </w:rPr>
        <w:t>regarding</w:t>
      </w:r>
      <w:r w:rsidRPr="273439B9">
        <w:rPr>
          <w:lang w:eastAsia="en-AU"/>
        </w:rPr>
        <w:t xml:space="preserve"> composition than those offered in the Code. </w:t>
      </w:r>
    </w:p>
    <w:p w14:paraId="2FADE10E" w14:textId="03BF10AD" w:rsidR="00A05DF6" w:rsidRDefault="00A05DF6" w:rsidP="00251931">
      <w:pPr>
        <w:pStyle w:val="Heading3"/>
      </w:pPr>
      <w:bookmarkStart w:id="27" w:name="_Toc122602205"/>
      <w:r>
        <w:t>Singapore</w:t>
      </w:r>
      <w:bookmarkEnd w:id="27"/>
    </w:p>
    <w:p w14:paraId="478BB3CC" w14:textId="112B24B6" w:rsidR="00A05DF6" w:rsidRPr="00A07C48" w:rsidRDefault="00A05DF6" w:rsidP="006B18A1">
      <w:pPr>
        <w:spacing w:after="160"/>
        <w:textAlignment w:val="baseline"/>
        <w:rPr>
          <w:rFonts w:ascii="Segoe UI" w:hAnsi="Segoe UI" w:cs="Segoe UI"/>
          <w:sz w:val="18"/>
          <w:szCs w:val="18"/>
          <w:lang w:val="en-AU" w:eastAsia="en-AU"/>
        </w:rPr>
      </w:pPr>
      <w:r w:rsidRPr="00A07C48">
        <w:rPr>
          <w:color w:val="000000"/>
          <w:lang w:eastAsia="en-AU"/>
        </w:rPr>
        <w:t xml:space="preserve">The </w:t>
      </w:r>
      <w:r w:rsidRPr="273439B9">
        <w:rPr>
          <w:i/>
          <w:iCs/>
          <w:lang w:eastAsia="en-AU"/>
        </w:rPr>
        <w:t>Sale of Food Act: Food Regulations</w:t>
      </w:r>
      <w:r w:rsidRPr="273439B9">
        <w:rPr>
          <w:rStyle w:val="FootnoteReference"/>
          <w:i/>
          <w:iCs/>
          <w:lang w:eastAsia="en-AU"/>
        </w:rPr>
        <w:footnoteReference w:id="24"/>
      </w:r>
      <w:r w:rsidRPr="00A07C48">
        <w:rPr>
          <w:lang w:eastAsia="en-AU"/>
        </w:rPr>
        <w:t xml:space="preserve"> in Singapore contain general provisions for the addition of nutrient supplements and for claims. Only nutrient supplements (amino acids, minerals or vitamins) listed in a schedule may be added to foods, except for special purpose foods. Claims for the presence of vitamins and minerals, and nutrition claims are regulated. A nutrition claim can be made </w:t>
      </w:r>
      <w:r w:rsidR="1B1AC7EF" w:rsidRPr="00A07C48">
        <w:rPr>
          <w:lang w:eastAsia="en-AU"/>
        </w:rPr>
        <w:t>if</w:t>
      </w:r>
      <w:r w:rsidRPr="00A07C48">
        <w:rPr>
          <w:lang w:eastAsia="en-AU"/>
        </w:rPr>
        <w:t xml:space="preserve"> it is not false or misleading and the label must not imply consuming the food will achieve health or improve a physical condition. Official guidelines are available for nutrition and health claims.</w:t>
      </w:r>
      <w:r w:rsidRPr="00A07C48">
        <w:rPr>
          <w:lang w:val="en-AU" w:eastAsia="en-AU"/>
        </w:rPr>
        <w:t> </w:t>
      </w:r>
    </w:p>
    <w:p w14:paraId="48482A9B" w14:textId="0E24957C" w:rsidR="00A05DF6" w:rsidRPr="00A07C48" w:rsidRDefault="00A05DF6" w:rsidP="006B18A1">
      <w:pPr>
        <w:spacing w:after="160"/>
        <w:textAlignment w:val="baseline"/>
        <w:rPr>
          <w:rFonts w:ascii="Segoe UI" w:hAnsi="Segoe UI" w:cs="Segoe UI"/>
          <w:sz w:val="18"/>
          <w:szCs w:val="18"/>
          <w:lang w:val="en-AU" w:eastAsia="en-AU"/>
        </w:rPr>
      </w:pPr>
      <w:r w:rsidRPr="00A07C48">
        <w:rPr>
          <w:lang w:eastAsia="en-AU"/>
        </w:rPr>
        <w:t xml:space="preserve">The Regulations include standards and particular labelling requirements for many standardised foods including special purpose foods and non-alcoholic drinks. The Regulations for special purpose foods include energy food and formulated food and do not appear to include any specific provisions for these foods. </w:t>
      </w:r>
    </w:p>
    <w:p w14:paraId="2EFC0B0C" w14:textId="783137E0" w:rsidR="00A05DF6" w:rsidRPr="00A07C48" w:rsidRDefault="00A05DF6" w:rsidP="006B18A1">
      <w:pPr>
        <w:spacing w:after="160"/>
        <w:textAlignment w:val="baseline"/>
        <w:rPr>
          <w:rFonts w:ascii="Segoe UI" w:hAnsi="Segoe UI" w:cs="Segoe UI"/>
          <w:sz w:val="18"/>
          <w:szCs w:val="18"/>
          <w:lang w:val="en-AU" w:eastAsia="en-AU"/>
        </w:rPr>
      </w:pPr>
      <w:r w:rsidRPr="273439B9">
        <w:rPr>
          <w:lang w:eastAsia="en-AU"/>
        </w:rPr>
        <w:t>It is likely that some of the sports food products typical of those on the market in Australia and New Zealand could be regulated in Singapore by the general provisions for non</w:t>
      </w:r>
      <w:r w:rsidR="2A0BBF18" w:rsidRPr="273439B9">
        <w:rPr>
          <w:lang w:eastAsia="en-AU"/>
        </w:rPr>
        <w:t xml:space="preserve">- </w:t>
      </w:r>
      <w:r w:rsidRPr="273439B9">
        <w:rPr>
          <w:lang w:eastAsia="en-AU"/>
        </w:rPr>
        <w:t>standardised foods and others as special purpose foods.</w:t>
      </w:r>
    </w:p>
    <w:p w14:paraId="53EF751E" w14:textId="443E16AA" w:rsidR="00A05DF6" w:rsidRDefault="00A05DF6" w:rsidP="00251931">
      <w:pPr>
        <w:pStyle w:val="Heading3"/>
      </w:pPr>
      <w:bookmarkStart w:id="28" w:name="_Toc122602206"/>
      <w:r>
        <w:t>Malaysia</w:t>
      </w:r>
      <w:bookmarkEnd w:id="28"/>
    </w:p>
    <w:p w14:paraId="7C177AFE" w14:textId="4CC0BA0F" w:rsidR="00A05DF6" w:rsidRPr="00A07C48" w:rsidRDefault="00A05DF6" w:rsidP="006B18A1">
      <w:pPr>
        <w:spacing w:after="160"/>
        <w:rPr>
          <w:lang w:eastAsia="en-AU"/>
        </w:rPr>
      </w:pPr>
      <w:r>
        <w:rPr>
          <w:rStyle w:val="normaltextrun"/>
          <w:shd w:val="clear" w:color="auto" w:fill="FFFFFF"/>
        </w:rPr>
        <w:t xml:space="preserve">The Malaysian Food Regulations do not contain specific provisions for sports food products. The regulations permit the addition of </w:t>
      </w:r>
      <w:r w:rsidR="03F30459">
        <w:rPr>
          <w:rStyle w:val="normaltextrun"/>
          <w:shd w:val="clear" w:color="auto" w:fill="FFFFFF"/>
        </w:rPr>
        <w:t>‘</w:t>
      </w:r>
      <w:r>
        <w:rPr>
          <w:rStyle w:val="normaltextrun"/>
          <w:shd w:val="clear" w:color="auto" w:fill="FFFFFF"/>
        </w:rPr>
        <w:t>added nutrients’ which includes any vitamin, mineral, amino acid, fatty acid, nucleotide or other food components which, when added singly or in combination to food, improves the nutritional value of the food. The Regulations refer to a schedule listing permitted added nutrients. </w:t>
      </w:r>
      <w:r>
        <w:rPr>
          <w:rStyle w:val="eop"/>
          <w:color w:val="000000"/>
          <w:shd w:val="clear" w:color="auto" w:fill="FFFFFF"/>
        </w:rPr>
        <w:t> </w:t>
      </w:r>
    </w:p>
    <w:p w14:paraId="1CF8490F" w14:textId="5F3B4FDE" w:rsidR="00A05DF6" w:rsidRDefault="00A05DF6" w:rsidP="00251931">
      <w:pPr>
        <w:pStyle w:val="Heading3"/>
      </w:pPr>
      <w:bookmarkStart w:id="29" w:name="_Toc122602207"/>
      <w:r>
        <w:t>Japan</w:t>
      </w:r>
      <w:bookmarkEnd w:id="29"/>
    </w:p>
    <w:p w14:paraId="0173D17E" w14:textId="5536F7A2" w:rsidR="00A05DF6" w:rsidRDefault="00A05DF6" w:rsidP="006B18A1">
      <w:pPr>
        <w:spacing w:after="160"/>
        <w:rPr>
          <w:lang w:eastAsia="en-AU"/>
        </w:rPr>
      </w:pPr>
      <w:r>
        <w:rPr>
          <w:rStyle w:val="normaltextrun"/>
          <w:shd w:val="clear" w:color="auto" w:fill="FFFFFF"/>
        </w:rPr>
        <w:t>Food is regulated in Japan under the Japanese Agricultural Standards Law, the Food Sanitation Law, and the Health Promotion Law. There are additional regulatory provisions for health foods which might include some of the Australian and New Zealand sports food products. Health foods include dietary supplements, food with nutrient function claims and food for specified health uses which are allowed to indicate claims for specified dietary uses. The nutrition labelling and health claims system sits under the Health Promotion Law and includes food with nutrient function claims and food for specified health uses (FOSHU). Several hundred FOSHU</w:t>
      </w:r>
      <w:r w:rsidR="6CAEBFD0">
        <w:rPr>
          <w:rStyle w:val="normaltextrun"/>
          <w:shd w:val="clear" w:color="auto" w:fill="FFFFFF"/>
        </w:rPr>
        <w:t xml:space="preserve"> </w:t>
      </w:r>
      <w:r>
        <w:rPr>
          <w:rStyle w:val="normaltextrun"/>
          <w:shd w:val="clear" w:color="auto" w:fill="FFFFFF"/>
        </w:rPr>
        <w:t>approved</w:t>
      </w:r>
      <w:r>
        <w:rPr>
          <w:rStyle w:val="normaltextrun"/>
          <w:shd w:val="clear" w:color="auto" w:fill="FFFFFF"/>
        </w:rPr>
        <w:noBreakHyphen/>
        <w:t xml:space="preserve"> products are currently on the market in Japan. Foods for special dietary uses (FOSDU) are another category of foods in Japan. </w:t>
      </w:r>
      <w:r>
        <w:rPr>
          <w:rStyle w:val="eop"/>
          <w:color w:val="000000"/>
          <w:shd w:val="clear" w:color="auto" w:fill="FFFFFF"/>
        </w:rPr>
        <w:t> </w:t>
      </w:r>
    </w:p>
    <w:p w14:paraId="5C90DFEC" w14:textId="08E2E8F0" w:rsidR="002C7201" w:rsidRDefault="002C7201" w:rsidP="002C7201">
      <w:pPr>
        <w:pStyle w:val="Heading1"/>
        <w:rPr>
          <w:lang w:eastAsia="en-AU"/>
        </w:rPr>
      </w:pPr>
      <w:bookmarkStart w:id="30" w:name="_Toc122602208"/>
      <w:r w:rsidRPr="273439B9">
        <w:rPr>
          <w:lang w:eastAsia="en-AU"/>
        </w:rPr>
        <w:lastRenderedPageBreak/>
        <w:t>Relevant Considerations</w:t>
      </w:r>
      <w:bookmarkEnd w:id="30"/>
    </w:p>
    <w:p w14:paraId="040F00D4" w14:textId="3C1AB4BF" w:rsidR="002C7201" w:rsidRDefault="002C7201" w:rsidP="00324B88">
      <w:pPr>
        <w:pStyle w:val="Heading2"/>
      </w:pPr>
      <w:bookmarkStart w:id="31" w:name="_Toc122602209"/>
      <w:r>
        <w:t>Market Overview</w:t>
      </w:r>
      <w:bookmarkEnd w:id="31"/>
    </w:p>
    <w:p w14:paraId="20C63EDB" w14:textId="77777777" w:rsidR="00077DF9" w:rsidRDefault="002C7201" w:rsidP="006B18A1">
      <w:pPr>
        <w:spacing w:after="160"/>
        <w:rPr>
          <w:rStyle w:val="normaltextrun"/>
          <w:color w:val="000000"/>
          <w:shd w:val="clear" w:color="auto" w:fill="FFFFFF"/>
        </w:rPr>
      </w:pPr>
      <w:r>
        <w:rPr>
          <w:rStyle w:val="normaltextrun"/>
          <w:color w:val="000000"/>
          <w:shd w:val="clear" w:color="auto" w:fill="FFFFFF"/>
        </w:rPr>
        <w:t>The sports food industry is complex and has grow</w:t>
      </w:r>
      <w:r w:rsidR="78D2A6A4">
        <w:rPr>
          <w:rStyle w:val="normaltextrun"/>
          <w:color w:val="000000"/>
          <w:shd w:val="clear" w:color="auto" w:fill="FFFFFF"/>
        </w:rPr>
        <w:t>n</w:t>
      </w:r>
      <w:r>
        <w:rPr>
          <w:rStyle w:val="normaltextrun"/>
          <w:color w:val="000000"/>
          <w:shd w:val="clear" w:color="auto" w:fill="FFFFFF"/>
        </w:rPr>
        <w:t xml:space="preserve"> rapidly over the last decade. </w:t>
      </w:r>
      <w:r w:rsidR="7E181FB8">
        <w:rPr>
          <w:rStyle w:val="normaltextrun"/>
          <w:color w:val="000000"/>
          <w:shd w:val="clear" w:color="auto" w:fill="FFFFFF"/>
        </w:rPr>
        <w:t xml:space="preserve">Globally, </w:t>
      </w:r>
      <w:r w:rsidR="16042C83">
        <w:rPr>
          <w:rStyle w:val="normaltextrun"/>
          <w:color w:val="000000"/>
          <w:shd w:val="clear" w:color="auto" w:fill="FFFFFF"/>
        </w:rPr>
        <w:t>t</w:t>
      </w:r>
      <w:r>
        <w:rPr>
          <w:rStyle w:val="normaltextrun"/>
          <w:color w:val="000000"/>
          <w:shd w:val="clear" w:color="auto" w:fill="FFFFFF"/>
        </w:rPr>
        <w:t>he range has expanded from conventional rehydration drinks to an array of bars, powders and supplements that suggest they can boost energy, aid recovery, build muscle and burn fat. Advances in research and technology have led to innovat</w:t>
      </w:r>
      <w:r w:rsidR="004330C4">
        <w:rPr>
          <w:rStyle w:val="normaltextrun"/>
          <w:color w:val="000000"/>
          <w:shd w:val="clear" w:color="auto" w:fill="FFFFFF"/>
        </w:rPr>
        <w:t>ion in</w:t>
      </w:r>
      <w:r>
        <w:rPr>
          <w:rStyle w:val="normaltextrun"/>
          <w:color w:val="000000"/>
          <w:shd w:val="clear" w:color="auto" w:fill="FFFFFF"/>
        </w:rPr>
        <w:t xml:space="preserve"> products and the use of non-traditional ingredients. </w:t>
      </w:r>
    </w:p>
    <w:p w14:paraId="7B200B0D" w14:textId="1B838D08" w:rsidR="002C7201" w:rsidRDefault="002C7201" w:rsidP="006B18A1">
      <w:pPr>
        <w:spacing w:after="160"/>
        <w:rPr>
          <w:rStyle w:val="normaltextrun"/>
          <w:color w:val="000000"/>
          <w:shd w:val="clear" w:color="auto" w:fill="FFFFFF"/>
        </w:rPr>
      </w:pPr>
      <w:r w:rsidRPr="009C026C">
        <w:rPr>
          <w:rStyle w:val="normaltextrun"/>
          <w:color w:val="000000"/>
          <w:shd w:val="clear" w:color="auto" w:fill="FFFFFF"/>
        </w:rPr>
        <w:t>Much of the</w:t>
      </w:r>
      <w:r w:rsidR="00B04C80">
        <w:rPr>
          <w:rStyle w:val="normaltextrun"/>
          <w:color w:val="000000"/>
          <w:shd w:val="clear" w:color="auto" w:fill="FFFFFF"/>
        </w:rPr>
        <w:t xml:space="preserve"> available market</w:t>
      </w:r>
      <w:r w:rsidRPr="009C026C">
        <w:rPr>
          <w:rStyle w:val="normaltextrun"/>
          <w:color w:val="000000"/>
          <w:shd w:val="clear" w:color="auto" w:fill="FFFFFF"/>
        </w:rPr>
        <w:t xml:space="preserve"> data </w:t>
      </w:r>
      <w:r w:rsidR="00B04C80">
        <w:rPr>
          <w:rStyle w:val="normaltextrun"/>
          <w:color w:val="000000"/>
          <w:shd w:val="clear" w:color="auto" w:fill="FFFFFF"/>
        </w:rPr>
        <w:t xml:space="preserve">is out-dated </w:t>
      </w:r>
      <w:r w:rsidRPr="009C026C">
        <w:rPr>
          <w:rStyle w:val="normaltextrun"/>
          <w:color w:val="000000"/>
          <w:shd w:val="clear" w:color="auto" w:fill="FFFFFF"/>
        </w:rPr>
        <w:t>and FSANZ understands there may have been significant shifts since then. FSANZ is seeking new data to inform its understanding of the current market.</w:t>
      </w:r>
      <w:r>
        <w:rPr>
          <w:rStyle w:val="normaltextrun"/>
          <w:color w:val="000000"/>
          <w:shd w:val="clear" w:color="auto" w:fill="FFFFFF"/>
        </w:rPr>
        <w:t xml:space="preserve"> </w:t>
      </w:r>
    </w:p>
    <w:p w14:paraId="17475377" w14:textId="28BBE158" w:rsidR="002C7201" w:rsidRDefault="002C7201" w:rsidP="00324B88">
      <w:pPr>
        <w:pStyle w:val="Heading2"/>
      </w:pPr>
      <w:bookmarkStart w:id="32" w:name="_Toc122602210"/>
      <w:r>
        <w:t>Global Market</w:t>
      </w:r>
      <w:bookmarkEnd w:id="32"/>
    </w:p>
    <w:p w14:paraId="20E4ECD7" w14:textId="571E7DFD" w:rsidR="002C7201" w:rsidRPr="000C4A93" w:rsidRDefault="002C7201" w:rsidP="006B18A1">
      <w:pPr>
        <w:spacing w:after="160"/>
        <w:textAlignment w:val="baseline"/>
        <w:rPr>
          <w:rFonts w:ascii="Segoe UI" w:hAnsi="Segoe UI" w:cs="Segoe UI"/>
          <w:sz w:val="18"/>
          <w:szCs w:val="18"/>
          <w:lang w:val="en-AU" w:eastAsia="en-AU"/>
        </w:rPr>
      </w:pPr>
      <w:r w:rsidRPr="53068CF4">
        <w:rPr>
          <w:lang w:eastAsia="en-AU"/>
        </w:rPr>
        <w:t xml:space="preserve">The global market for sports </w:t>
      </w:r>
      <w:r w:rsidR="001A6941" w:rsidRPr="53068CF4">
        <w:rPr>
          <w:lang w:eastAsia="en-AU"/>
        </w:rPr>
        <w:t>foods increased</w:t>
      </w:r>
      <w:r w:rsidRPr="53068CF4">
        <w:rPr>
          <w:lang w:eastAsia="en-AU"/>
        </w:rPr>
        <w:t xml:space="preserve"> from US $27.8 billion in 2007 to an estimated $31.2 billion in 2008. </w:t>
      </w:r>
      <w:r>
        <w:rPr>
          <w:lang w:eastAsia="en-AU"/>
        </w:rPr>
        <w:t>At the time, s</w:t>
      </w:r>
      <w:r w:rsidRPr="53068CF4">
        <w:rPr>
          <w:lang w:eastAsia="en-AU"/>
        </w:rPr>
        <w:t>ports food represented the second-largest market segment, generating an estimated $1.5 billion in 2008</w:t>
      </w:r>
      <w:r>
        <w:rPr>
          <w:rStyle w:val="FootnoteReference"/>
          <w:lang w:eastAsia="en-AU"/>
        </w:rPr>
        <w:footnoteReference w:id="25"/>
      </w:r>
      <w:r w:rsidRPr="53068CF4">
        <w:rPr>
          <w:lang w:eastAsia="en-AU"/>
        </w:rPr>
        <w:t xml:space="preserve">. </w:t>
      </w:r>
      <w:r w:rsidRPr="53068CF4">
        <w:rPr>
          <w:lang w:val="en-AU" w:eastAsia="en-AU"/>
        </w:rPr>
        <w:t>  </w:t>
      </w:r>
    </w:p>
    <w:p w14:paraId="095EB49F" w14:textId="77777777" w:rsidR="002C7201" w:rsidRPr="000C4A93" w:rsidRDefault="002C7201" w:rsidP="006B18A1">
      <w:pPr>
        <w:spacing w:after="160"/>
        <w:textAlignment w:val="baseline"/>
        <w:rPr>
          <w:lang w:val="en-AU" w:eastAsia="en-AU"/>
        </w:rPr>
      </w:pPr>
      <w:r w:rsidRPr="06BF0EA8">
        <w:rPr>
          <w:lang w:eastAsia="en-AU"/>
        </w:rPr>
        <w:t>At the time,</w:t>
      </w:r>
      <w:r w:rsidRPr="53068CF4">
        <w:rPr>
          <w:lang w:eastAsia="en-AU"/>
        </w:rPr>
        <w:t xml:space="preserve"> growth in this market </w:t>
      </w:r>
      <w:r w:rsidRPr="06BF0EA8">
        <w:rPr>
          <w:lang w:eastAsia="en-AU"/>
        </w:rPr>
        <w:t>was thought to be</w:t>
      </w:r>
      <w:r w:rsidRPr="53068CF4">
        <w:rPr>
          <w:lang w:eastAsia="en-AU"/>
        </w:rPr>
        <w:t xml:space="preserve"> primarily driven by an increased consumer focus on health and wellness, improving income levels, consumer demand and product innovation. Population growth and improving economies in emerging markets such as China, south-east Asia and Latin America </w:t>
      </w:r>
      <w:r w:rsidRPr="06BF0EA8">
        <w:rPr>
          <w:lang w:eastAsia="en-AU"/>
        </w:rPr>
        <w:t>was also</w:t>
      </w:r>
      <w:r w:rsidRPr="53068CF4">
        <w:rPr>
          <w:lang w:eastAsia="en-AU"/>
        </w:rPr>
        <w:t xml:space="preserve"> expected to increase the demand for nutritional products, and in particular, sports food products. </w:t>
      </w:r>
      <w:r w:rsidRPr="53068CF4">
        <w:rPr>
          <w:lang w:val="en-AU" w:eastAsia="en-AU"/>
        </w:rPr>
        <w:t> </w:t>
      </w:r>
    </w:p>
    <w:p w14:paraId="77E61AD6" w14:textId="163244E7" w:rsidR="002C7201" w:rsidRDefault="002C7201" w:rsidP="006B18A1">
      <w:pPr>
        <w:spacing w:after="160"/>
        <w:jc w:val="both"/>
        <w:rPr>
          <w:rFonts w:eastAsia="Arial"/>
          <w:lang w:val="en-AU"/>
        </w:rPr>
      </w:pPr>
      <w:r w:rsidRPr="5F7DA330">
        <w:rPr>
          <w:rFonts w:eastAsia="Arial"/>
          <w:color w:val="222222"/>
          <w:lang w:val="en"/>
        </w:rPr>
        <w:t xml:space="preserve">From 2004 to 2018, the global sports </w:t>
      </w:r>
      <w:r w:rsidR="20F5D358" w:rsidRPr="5F7DA330">
        <w:rPr>
          <w:rFonts w:eastAsia="Arial"/>
          <w:color w:val="222222"/>
          <w:lang w:val="en"/>
        </w:rPr>
        <w:t>food</w:t>
      </w:r>
      <w:r w:rsidR="00077DF9">
        <w:rPr>
          <w:rFonts w:eastAsia="Arial"/>
          <w:color w:val="222222"/>
          <w:lang w:val="en"/>
        </w:rPr>
        <w:t xml:space="preserve"> </w:t>
      </w:r>
      <w:r w:rsidRPr="5F7DA330">
        <w:rPr>
          <w:rFonts w:eastAsia="Arial"/>
          <w:color w:val="222222"/>
          <w:lang w:val="en"/>
        </w:rPr>
        <w:t>market grew 190% at a compound annual growth rate (CAGR) of 7.9%</w:t>
      </w:r>
      <w:r w:rsidRPr="5F7DA330">
        <w:rPr>
          <w:rStyle w:val="FootnoteReference"/>
          <w:rFonts w:eastAsia="Arial"/>
          <w:color w:val="222222"/>
          <w:lang w:val="en"/>
        </w:rPr>
        <w:footnoteReference w:id="26"/>
      </w:r>
      <w:r w:rsidRPr="5F7DA330">
        <w:rPr>
          <w:rFonts w:eastAsia="Arial"/>
          <w:color w:val="222222"/>
          <w:lang w:val="en"/>
        </w:rPr>
        <w:t xml:space="preserve">, an unprecedented growth rate to sustain for this type of consumer </w:t>
      </w:r>
      <w:r w:rsidRPr="5F7DA330">
        <w:rPr>
          <w:rFonts w:eastAsia="Arial"/>
          <w:lang w:val="en-AU"/>
        </w:rPr>
        <w:t xml:space="preserve">good. The Asia-Pacific region </w:t>
      </w:r>
      <w:r w:rsidR="00F6033E">
        <w:rPr>
          <w:rFonts w:eastAsia="Arial"/>
          <w:lang w:val="en-AU"/>
        </w:rPr>
        <w:t>wa</w:t>
      </w:r>
      <w:r w:rsidRPr="5F7DA330">
        <w:rPr>
          <w:rFonts w:eastAsia="Arial"/>
          <w:lang w:val="en-AU"/>
        </w:rPr>
        <w:t xml:space="preserve">s expected to see the fastest growth rate overall between 2018 and 2023, with a CAGR of 9.1% predicted. At the time of the report, the </w:t>
      </w:r>
      <w:r w:rsidRPr="00016534">
        <w:rPr>
          <w:rFonts w:eastAsia="Arial"/>
          <w:lang w:val="en-AU"/>
        </w:rPr>
        <w:t>global</w:t>
      </w:r>
      <w:r w:rsidRPr="5F7DA330">
        <w:rPr>
          <w:rFonts w:eastAsia="Arial"/>
          <w:lang w:val="en-AU"/>
        </w:rPr>
        <w:t xml:space="preserve"> ‘sports nutrition’ market size was expected to reach </w:t>
      </w:r>
      <w:r w:rsidRPr="00016534">
        <w:rPr>
          <w:rFonts w:eastAsia="Arial"/>
          <w:lang w:val="en-AU"/>
        </w:rPr>
        <w:t>~AU $64 billion</w:t>
      </w:r>
      <w:r w:rsidRPr="5F7DA330">
        <w:rPr>
          <w:rFonts w:eastAsia="Arial"/>
          <w:b/>
          <w:bCs/>
          <w:lang w:val="en-AU"/>
        </w:rPr>
        <w:t xml:space="preserve"> </w:t>
      </w:r>
      <w:r w:rsidRPr="5F7DA330">
        <w:rPr>
          <w:rFonts w:eastAsia="Arial"/>
          <w:lang w:val="en-AU"/>
        </w:rPr>
        <w:t>(US $44 billion)</w:t>
      </w:r>
      <w:r w:rsidRPr="5F7DA330">
        <w:rPr>
          <w:rFonts w:eastAsia="Arial"/>
          <w:b/>
          <w:bCs/>
          <w:lang w:val="en-AU"/>
        </w:rPr>
        <w:t xml:space="preserve"> </w:t>
      </w:r>
      <w:r w:rsidRPr="5F7DA330">
        <w:rPr>
          <w:rFonts w:eastAsia="Arial"/>
          <w:lang w:val="en-AU"/>
        </w:rPr>
        <w:t>by 2021.</w:t>
      </w:r>
    </w:p>
    <w:p w14:paraId="51A06CCA" w14:textId="4EB5C196" w:rsidR="002C7201" w:rsidRDefault="002C7201" w:rsidP="006B18A1">
      <w:pPr>
        <w:keepNext/>
        <w:spacing w:after="160"/>
        <w:rPr>
          <w:lang w:eastAsia="en-AU"/>
        </w:rPr>
      </w:pPr>
      <w:r w:rsidRPr="53068CF4">
        <w:rPr>
          <w:lang w:eastAsia="en-AU"/>
        </w:rPr>
        <w:t>It is</w:t>
      </w:r>
      <w:r w:rsidRPr="5F7DA330">
        <w:rPr>
          <w:lang w:eastAsia="en-AU"/>
        </w:rPr>
        <w:t xml:space="preserve"> however</w:t>
      </w:r>
      <w:r w:rsidRPr="53068CF4">
        <w:rPr>
          <w:lang w:eastAsia="en-AU"/>
        </w:rPr>
        <w:t xml:space="preserve"> difficult to obtain accurate information on the sports food product market as goods may be categorised as food, beverages, supplements or therapeutics. Sports food products are widely available</w:t>
      </w:r>
      <w:r w:rsidR="00F6033E">
        <w:rPr>
          <w:lang w:eastAsia="en-AU"/>
        </w:rPr>
        <w:t xml:space="preserve"> across the world</w:t>
      </w:r>
      <w:r w:rsidRPr="53068CF4">
        <w:rPr>
          <w:lang w:eastAsia="en-AU"/>
        </w:rPr>
        <w:t xml:space="preserve"> and can be purchased from supermarkets, service stations and convenience stores, gyms, health food stores, specialist supplement stores, and sporting venues. While data are available for products purchased in supermarkets, other retail outlet sales </w:t>
      </w:r>
      <w:r w:rsidR="00B158B7">
        <w:rPr>
          <w:lang w:eastAsia="en-AU"/>
        </w:rPr>
        <w:t>and online sales</w:t>
      </w:r>
      <w:r w:rsidRPr="53068CF4">
        <w:rPr>
          <w:lang w:eastAsia="en-AU"/>
        </w:rPr>
        <w:t xml:space="preserve"> are harder to track. </w:t>
      </w:r>
      <w:bookmarkStart w:id="33" w:name="_Toc120006645"/>
      <w:bookmarkStart w:id="34" w:name="_Toc120112210"/>
      <w:bookmarkEnd w:id="33"/>
      <w:bookmarkEnd w:id="34"/>
    </w:p>
    <w:p w14:paraId="127A74B3" w14:textId="77777777" w:rsidR="002C7201" w:rsidRPr="00F6033E" w:rsidRDefault="002C7201" w:rsidP="00251931">
      <w:pPr>
        <w:pStyle w:val="Heading3"/>
        <w:rPr>
          <w:shd w:val="clear" w:color="auto" w:fill="FFFFFF"/>
          <w:lang w:val="en-AU"/>
        </w:rPr>
      </w:pPr>
      <w:bookmarkStart w:id="35" w:name="_Toc120112212"/>
      <w:bookmarkStart w:id="36" w:name="_Toc120275091"/>
      <w:bookmarkStart w:id="37" w:name="_Toc122602211"/>
      <w:bookmarkStart w:id="38" w:name="_Toc410306249"/>
      <w:r>
        <w:t>Australian market</w:t>
      </w:r>
      <w:bookmarkEnd w:id="35"/>
      <w:bookmarkEnd w:id="36"/>
      <w:bookmarkEnd w:id="37"/>
      <w:r>
        <w:t> </w:t>
      </w:r>
      <w:r w:rsidRPr="273439B9">
        <w:rPr>
          <w:lang w:val="en-AU"/>
        </w:rPr>
        <w:t> </w:t>
      </w:r>
      <w:bookmarkEnd w:id="38"/>
    </w:p>
    <w:p w14:paraId="072B10BC" w14:textId="75B06AAD" w:rsidR="002C7201" w:rsidRDefault="002C7201" w:rsidP="006B18A1">
      <w:pPr>
        <w:spacing w:after="160"/>
        <w:rPr>
          <w:lang w:val="en-AU" w:eastAsia="en-AU"/>
        </w:rPr>
      </w:pPr>
      <w:r w:rsidRPr="273439B9">
        <w:rPr>
          <w:lang w:eastAsia="en-AU"/>
        </w:rPr>
        <w:t xml:space="preserve">In late 2010, FSANZ surveyed a small number of Australian sports food manufacturers and importers to gain an overview of the sports food industry in Australia. Further information on the value of sports food products purchased from supermarkets was </w:t>
      </w:r>
      <w:r w:rsidR="14496AF8" w:rsidRPr="273439B9">
        <w:rPr>
          <w:lang w:eastAsia="en-AU"/>
        </w:rPr>
        <w:t xml:space="preserve">also </w:t>
      </w:r>
      <w:r w:rsidRPr="273439B9">
        <w:rPr>
          <w:lang w:eastAsia="en-AU"/>
        </w:rPr>
        <w:t xml:space="preserve">obtained from the </w:t>
      </w:r>
      <w:r w:rsidRPr="273439B9">
        <w:rPr>
          <w:i/>
          <w:iCs/>
          <w:lang w:eastAsia="en-AU"/>
        </w:rPr>
        <w:t>Retail World Annual Report 2010</w:t>
      </w:r>
      <w:r w:rsidRPr="273439B9">
        <w:rPr>
          <w:lang w:eastAsia="en-AU"/>
        </w:rPr>
        <w:t>.</w:t>
      </w:r>
      <w:r w:rsidRPr="273439B9">
        <w:rPr>
          <w:lang w:val="en-AU" w:eastAsia="en-AU"/>
        </w:rPr>
        <w:t> </w:t>
      </w:r>
    </w:p>
    <w:p w14:paraId="63758ADA" w14:textId="77777777" w:rsidR="002C7201" w:rsidRPr="00FA3536" w:rsidRDefault="002C7201" w:rsidP="006B18A1">
      <w:pPr>
        <w:spacing w:after="160"/>
        <w:textAlignment w:val="baseline"/>
        <w:rPr>
          <w:rFonts w:ascii="Segoe UI" w:hAnsi="Segoe UI" w:cs="Segoe UI"/>
          <w:sz w:val="18"/>
          <w:szCs w:val="18"/>
          <w:lang w:val="en-AU" w:eastAsia="en-AU"/>
        </w:rPr>
      </w:pPr>
      <w:r w:rsidRPr="56AECBCA">
        <w:rPr>
          <w:lang w:eastAsia="en-AU"/>
        </w:rPr>
        <w:t>While industry data were available for products purchased from supermarkets, there were limited data on products purchased from other retail outlets. At the time of the survey, industry stakeholders estimated the total value of the market to be from $110 million to as high as $600 million</w:t>
      </w:r>
      <w:r w:rsidRPr="56AECBCA">
        <w:rPr>
          <w:rStyle w:val="FootnoteReference"/>
          <w:lang w:eastAsia="en-AU"/>
        </w:rPr>
        <w:footnoteReference w:id="27"/>
      </w:r>
      <w:r w:rsidRPr="56AECBCA">
        <w:rPr>
          <w:lang w:eastAsia="en-AU"/>
        </w:rPr>
        <w:t>.  </w:t>
      </w:r>
      <w:r w:rsidRPr="56AECBCA">
        <w:rPr>
          <w:lang w:val="en-AU" w:eastAsia="en-AU"/>
        </w:rPr>
        <w:t> </w:t>
      </w:r>
    </w:p>
    <w:p w14:paraId="1512C14F" w14:textId="45D8928E" w:rsidR="002C7201" w:rsidRPr="00FA3536" w:rsidRDefault="002C7201" w:rsidP="006B18A1">
      <w:pPr>
        <w:spacing w:after="160"/>
        <w:textAlignment w:val="baseline"/>
        <w:rPr>
          <w:lang w:val="en-AU" w:eastAsia="en-AU"/>
        </w:rPr>
      </w:pPr>
      <w:r w:rsidRPr="4DBF8B01">
        <w:rPr>
          <w:lang w:eastAsia="en-AU"/>
        </w:rPr>
        <w:t>According to industry sources, approximately 40% of sports food</w:t>
      </w:r>
      <w:r w:rsidR="57B19EA8" w:rsidRPr="4DBF8B01">
        <w:rPr>
          <w:lang w:eastAsia="en-AU"/>
        </w:rPr>
        <w:t>s</w:t>
      </w:r>
      <w:r w:rsidR="00077DF9">
        <w:rPr>
          <w:lang w:eastAsia="en-AU"/>
        </w:rPr>
        <w:t xml:space="preserve"> </w:t>
      </w:r>
      <w:r w:rsidRPr="4DBF8B01">
        <w:rPr>
          <w:lang w:eastAsia="en-AU"/>
        </w:rPr>
        <w:t xml:space="preserve">were purchased through specialist shops, health food stores or pharmacies. These products were predominantly </w:t>
      </w:r>
      <w:r w:rsidRPr="4DBF8B01">
        <w:rPr>
          <w:lang w:eastAsia="en-AU"/>
        </w:rPr>
        <w:lastRenderedPageBreak/>
        <w:t>powders and supplements. Approximately 25% of products were purchased through supermarkets. Service stations accounted for around 25% of retail sales, which were mainly sports drinks. The remaining 5% of sales occurred through gyms, clubs, or personal trainers. Products purchased ‘online’ or imported for personal use were considered outside the scope of the survey, but were</w:t>
      </w:r>
      <w:r w:rsidR="005507AA" w:rsidRPr="4DBF8B01">
        <w:rPr>
          <w:lang w:eastAsia="en-AU"/>
        </w:rPr>
        <w:t xml:space="preserve"> reported to be</w:t>
      </w:r>
      <w:r w:rsidRPr="4DBF8B01">
        <w:rPr>
          <w:lang w:eastAsia="en-AU"/>
        </w:rPr>
        <w:t xml:space="preserve"> increasing. </w:t>
      </w:r>
    </w:p>
    <w:p w14:paraId="7C3A094C" w14:textId="198288B9" w:rsidR="002C7201" w:rsidRDefault="002C7201" w:rsidP="006B18A1">
      <w:pPr>
        <w:spacing w:after="160"/>
        <w:textAlignment w:val="baseline"/>
        <w:rPr>
          <w:lang w:eastAsia="en-AU"/>
        </w:rPr>
      </w:pPr>
      <w:r w:rsidRPr="56AECBCA">
        <w:rPr>
          <w:lang w:eastAsia="en-AU"/>
        </w:rPr>
        <w:t xml:space="preserve">The </w:t>
      </w:r>
      <w:r w:rsidRPr="4DBF8B01">
        <w:rPr>
          <w:i/>
          <w:iCs/>
          <w:lang w:eastAsia="en-AU"/>
        </w:rPr>
        <w:t>2010 Retail World Annual Report</w:t>
      </w:r>
      <w:r w:rsidRPr="56AECBCA">
        <w:rPr>
          <w:lang w:eastAsia="en-AU"/>
        </w:rPr>
        <w:t xml:space="preserve"> indicated that the total value of sports food</w:t>
      </w:r>
      <w:r w:rsidR="34088A17" w:rsidRPr="56AECBCA">
        <w:rPr>
          <w:lang w:eastAsia="en-AU"/>
        </w:rPr>
        <w:t>s</w:t>
      </w:r>
      <w:r w:rsidR="0032622A">
        <w:rPr>
          <w:lang w:eastAsia="en-AU"/>
        </w:rPr>
        <w:t xml:space="preserve"> </w:t>
      </w:r>
      <w:r w:rsidRPr="56AECBCA">
        <w:rPr>
          <w:lang w:eastAsia="en-AU"/>
        </w:rPr>
        <w:t>purchased from supermarkets was approximately $158 million. Sports foods</w:t>
      </w:r>
      <w:r w:rsidRPr="56AECBCA">
        <w:rPr>
          <w:rStyle w:val="FootnoteReference"/>
          <w:lang w:eastAsia="en-AU"/>
        </w:rPr>
        <w:footnoteReference w:id="28"/>
      </w:r>
      <w:r w:rsidRPr="56AECBCA">
        <w:rPr>
          <w:lang w:eastAsia="en-AU"/>
        </w:rPr>
        <w:t xml:space="preserve"> </w:t>
      </w:r>
      <w:r w:rsidR="57CB2857" w:rsidRPr="56AECBCA">
        <w:rPr>
          <w:lang w:eastAsia="en-AU"/>
        </w:rPr>
        <w:t xml:space="preserve">(not drinks) </w:t>
      </w:r>
      <w:r w:rsidRPr="56AECBCA">
        <w:rPr>
          <w:lang w:eastAsia="en-AU"/>
        </w:rPr>
        <w:t>were valued at $37.8 million, an increase of approximately 14% from the previous year.</w:t>
      </w:r>
    </w:p>
    <w:p w14:paraId="0CFBD421" w14:textId="24814291" w:rsidR="005507AA" w:rsidRPr="00FA3536" w:rsidRDefault="005507AA" w:rsidP="273439B9">
      <w:pPr>
        <w:spacing w:after="160"/>
        <w:rPr>
          <w:lang w:val="en-AU" w:eastAsia="en-AU"/>
        </w:rPr>
      </w:pPr>
      <w:r w:rsidRPr="6A7A2FF8">
        <w:rPr>
          <w:lang w:val="en-AU" w:eastAsia="en-AU"/>
        </w:rPr>
        <w:t>A 2020 report</w:t>
      </w:r>
      <w:r w:rsidR="4FAF903C" w:rsidRPr="6A7A2FF8">
        <w:rPr>
          <w:lang w:val="en-AU" w:eastAsia="en-AU"/>
        </w:rPr>
        <w:t xml:space="preserve"> </w:t>
      </w:r>
      <w:r w:rsidR="4FAF903C" w:rsidRPr="273439B9">
        <w:rPr>
          <w:lang w:val="en-AU" w:eastAsia="en-AU"/>
        </w:rPr>
        <w:t>by Complementary Medicines Australia</w:t>
      </w:r>
      <w:r w:rsidRPr="6A7A2FF8">
        <w:rPr>
          <w:rStyle w:val="FootnoteReference"/>
          <w:lang w:val="en-AU" w:eastAsia="en-AU"/>
        </w:rPr>
        <w:footnoteReference w:id="29"/>
      </w:r>
      <w:r w:rsidRPr="6A7A2FF8">
        <w:rPr>
          <w:lang w:val="en-AU" w:eastAsia="en-AU"/>
        </w:rPr>
        <w:t xml:space="preserve"> state</w:t>
      </w:r>
      <w:r w:rsidR="00F175D4">
        <w:rPr>
          <w:lang w:val="en-AU" w:eastAsia="en-AU"/>
        </w:rPr>
        <w:t>d</w:t>
      </w:r>
      <w:r w:rsidRPr="6A7A2FF8">
        <w:rPr>
          <w:lang w:val="en-AU" w:eastAsia="en-AU"/>
        </w:rPr>
        <w:t xml:space="preserve"> that ‘sports nutrition’ contribute</w:t>
      </w:r>
      <w:r w:rsidR="00F175D4">
        <w:rPr>
          <w:lang w:val="en-AU" w:eastAsia="en-AU"/>
        </w:rPr>
        <w:t>d</w:t>
      </w:r>
      <w:r w:rsidRPr="6A7A2FF8">
        <w:rPr>
          <w:lang w:val="en-AU" w:eastAsia="en-AU"/>
        </w:rPr>
        <w:t xml:space="preserve"> approximately AU $1.31 billion out of AU $5.6 billion revenue for complementary medicines in Australia per year (note </w:t>
      </w:r>
      <w:r w:rsidR="57998282" w:rsidRPr="6A7A2FF8">
        <w:rPr>
          <w:lang w:val="en-AU" w:eastAsia="en-AU"/>
        </w:rPr>
        <w:t xml:space="preserve">another </w:t>
      </w:r>
      <w:r w:rsidRPr="6A7A2FF8">
        <w:rPr>
          <w:lang w:val="en-AU" w:eastAsia="en-AU"/>
        </w:rPr>
        <w:t>AU $3.1 billion was attributed to vitamin and dietary supplements</w:t>
      </w:r>
      <w:r>
        <w:rPr>
          <w:lang w:val="en-AU" w:eastAsia="en-AU"/>
        </w:rPr>
        <w:t>)</w:t>
      </w:r>
      <w:r w:rsidRPr="6A7A2FF8">
        <w:rPr>
          <w:lang w:val="en-AU" w:eastAsia="en-AU"/>
        </w:rPr>
        <w:t xml:space="preserve">. </w:t>
      </w:r>
      <w:r w:rsidR="00B158B7">
        <w:rPr>
          <w:lang w:val="en-AU" w:eastAsia="en-AU"/>
        </w:rPr>
        <w:t>This</w:t>
      </w:r>
      <w:r w:rsidRPr="6A7A2FF8">
        <w:rPr>
          <w:lang w:val="en-AU" w:eastAsia="en-AU"/>
        </w:rPr>
        <w:t xml:space="preserve"> figure </w:t>
      </w:r>
      <w:r w:rsidR="00B158B7">
        <w:rPr>
          <w:lang w:val="en-AU" w:eastAsia="en-AU"/>
        </w:rPr>
        <w:t>could include</w:t>
      </w:r>
      <w:r w:rsidRPr="6A7A2FF8">
        <w:rPr>
          <w:lang w:val="en-AU" w:eastAsia="en-AU"/>
        </w:rPr>
        <w:t xml:space="preserve"> sports drinks and some therapeutics (listed medicines)</w:t>
      </w:r>
      <w:r w:rsidR="00F175D4">
        <w:rPr>
          <w:lang w:val="en-AU" w:eastAsia="en-AU"/>
        </w:rPr>
        <w:t>.</w:t>
      </w:r>
    </w:p>
    <w:p w14:paraId="4AC0C1B6" w14:textId="7B522D76" w:rsidR="002C7201" w:rsidRDefault="002C7201" w:rsidP="273439B9">
      <w:pPr>
        <w:pStyle w:val="Heading4"/>
      </w:pPr>
      <w:r>
        <w:t>Local and imported products</w:t>
      </w:r>
    </w:p>
    <w:p w14:paraId="12E80391" w14:textId="27190EF7" w:rsidR="002C7201" w:rsidRPr="00FA3536" w:rsidRDefault="002C7201" w:rsidP="006B18A1">
      <w:pPr>
        <w:spacing w:after="160"/>
        <w:textAlignment w:val="baseline"/>
        <w:rPr>
          <w:rFonts w:ascii="Segoe UI" w:hAnsi="Segoe UI" w:cs="Segoe UI"/>
          <w:sz w:val="18"/>
          <w:szCs w:val="18"/>
          <w:lang w:val="en-AU" w:eastAsia="en-AU"/>
        </w:rPr>
      </w:pPr>
      <w:r w:rsidRPr="273439B9">
        <w:rPr>
          <w:lang w:eastAsia="en-AU"/>
        </w:rPr>
        <w:t xml:space="preserve">Industry respondents </w:t>
      </w:r>
      <w:r w:rsidR="00F175D4" w:rsidRPr="273439B9">
        <w:rPr>
          <w:lang w:eastAsia="en-AU"/>
        </w:rPr>
        <w:t xml:space="preserve">to the FSANZ 2010 industry survey </w:t>
      </w:r>
      <w:r w:rsidR="0006031E" w:rsidRPr="273439B9">
        <w:rPr>
          <w:lang w:eastAsia="en-AU"/>
        </w:rPr>
        <w:t xml:space="preserve">mentioned above </w:t>
      </w:r>
      <w:r w:rsidRPr="273439B9">
        <w:rPr>
          <w:lang w:eastAsia="en-AU"/>
        </w:rPr>
        <w:t xml:space="preserve">advised that approximately 70% of sports products </w:t>
      </w:r>
      <w:r w:rsidR="584F5A79" w:rsidRPr="273439B9">
        <w:rPr>
          <w:lang w:eastAsia="en-AU"/>
        </w:rPr>
        <w:t xml:space="preserve">were </w:t>
      </w:r>
      <w:r w:rsidRPr="273439B9">
        <w:rPr>
          <w:lang w:eastAsia="en-AU"/>
        </w:rPr>
        <w:t xml:space="preserve">manufactured locally while the remaining 30% were imported. However, this varied depending on the product category. For example, some industry sources advised that up to 70% of products specifically targeting the body building industry were imported, predominantly from the </w:t>
      </w:r>
      <w:r w:rsidR="0006031E" w:rsidRPr="273439B9">
        <w:rPr>
          <w:lang w:eastAsia="en-AU"/>
        </w:rPr>
        <w:t>US</w:t>
      </w:r>
      <w:r w:rsidRPr="273439B9">
        <w:rPr>
          <w:lang w:eastAsia="en-AU"/>
        </w:rPr>
        <w:t xml:space="preserve">. Possible reasons </w:t>
      </w:r>
      <w:r w:rsidR="1CD6A3ED" w:rsidRPr="273439B9">
        <w:rPr>
          <w:lang w:eastAsia="en-AU"/>
        </w:rPr>
        <w:t xml:space="preserve">suggested for this </w:t>
      </w:r>
      <w:r w:rsidRPr="273439B9">
        <w:rPr>
          <w:lang w:eastAsia="en-AU"/>
        </w:rPr>
        <w:t xml:space="preserve">included strengthening of the Australian dollar at the time and availability of a wider range of products to meet consumers’ needs. Some survey respondents noted that products manufactured in, or imported into New Zealand under the </w:t>
      </w:r>
      <w:r w:rsidRPr="273439B9">
        <w:rPr>
          <w:i/>
          <w:iCs/>
          <w:lang w:eastAsia="en-AU"/>
        </w:rPr>
        <w:t>Dietary Supplement Regulations</w:t>
      </w:r>
      <w:r w:rsidRPr="273439B9">
        <w:rPr>
          <w:lang w:eastAsia="en-AU"/>
        </w:rPr>
        <w:t xml:space="preserve"> (1985) or the NZ </w:t>
      </w:r>
      <w:r w:rsidRPr="273439B9">
        <w:rPr>
          <w:i/>
          <w:iCs/>
          <w:lang w:eastAsia="en-AU"/>
        </w:rPr>
        <w:t>Food (Supplemented Food) Standard (2010)</w:t>
      </w:r>
      <w:r w:rsidRPr="273439B9">
        <w:rPr>
          <w:lang w:eastAsia="en-AU"/>
        </w:rPr>
        <w:t xml:space="preserve"> </w:t>
      </w:r>
      <w:r w:rsidR="23AC02FB" w:rsidRPr="273439B9">
        <w:rPr>
          <w:lang w:eastAsia="en-AU"/>
        </w:rPr>
        <w:t>we</w:t>
      </w:r>
      <w:r w:rsidRPr="273439B9">
        <w:rPr>
          <w:lang w:eastAsia="en-AU"/>
        </w:rPr>
        <w:t xml:space="preserve">re being exported to Australia via the TTMRA. However, </w:t>
      </w:r>
      <w:r w:rsidR="00FF119B" w:rsidRPr="273439B9">
        <w:rPr>
          <w:lang w:eastAsia="en-AU"/>
        </w:rPr>
        <w:t xml:space="preserve">it was reported that </w:t>
      </w:r>
      <w:r w:rsidR="00466A59" w:rsidRPr="273439B9">
        <w:rPr>
          <w:lang w:eastAsia="en-AU"/>
        </w:rPr>
        <w:t xml:space="preserve">many of these products </w:t>
      </w:r>
      <w:r w:rsidRPr="273439B9">
        <w:rPr>
          <w:lang w:eastAsia="en-AU"/>
        </w:rPr>
        <w:t xml:space="preserve">contained substances not currently permitted or at higher levels than the current permissions in Standard 2.9.4. These products competed directly with Australian manufactured or other imported products which </w:t>
      </w:r>
      <w:r w:rsidR="4716F65D" w:rsidRPr="273439B9">
        <w:rPr>
          <w:lang w:eastAsia="en-AU"/>
        </w:rPr>
        <w:t xml:space="preserve">needed to </w:t>
      </w:r>
      <w:r w:rsidRPr="273439B9">
        <w:rPr>
          <w:lang w:eastAsia="en-AU"/>
        </w:rPr>
        <w:t>comply with the Code.   </w:t>
      </w:r>
      <w:r w:rsidRPr="273439B9">
        <w:rPr>
          <w:lang w:val="en-AU" w:eastAsia="en-AU"/>
        </w:rPr>
        <w:t> </w:t>
      </w:r>
    </w:p>
    <w:p w14:paraId="1AA6FA96" w14:textId="2A4A646A" w:rsidR="002C7201" w:rsidRDefault="002C7201" w:rsidP="273439B9">
      <w:pPr>
        <w:pStyle w:val="Heading4"/>
      </w:pPr>
      <w:r>
        <w:t>Export products</w:t>
      </w:r>
    </w:p>
    <w:p w14:paraId="077E0405" w14:textId="12AB5EA1" w:rsidR="002C7201" w:rsidRPr="00FA3536" w:rsidRDefault="002C7201" w:rsidP="006B18A1">
      <w:pPr>
        <w:spacing w:after="160"/>
        <w:textAlignment w:val="baseline"/>
        <w:rPr>
          <w:rFonts w:ascii="Segoe UI" w:hAnsi="Segoe UI" w:cs="Segoe UI"/>
          <w:sz w:val="18"/>
          <w:szCs w:val="18"/>
          <w:lang w:val="en-AU" w:eastAsia="en-AU"/>
        </w:rPr>
      </w:pPr>
      <w:r w:rsidRPr="273439B9">
        <w:rPr>
          <w:lang w:eastAsia="en-AU"/>
        </w:rPr>
        <w:t>A small number of Australian manufacturers advised that they export</w:t>
      </w:r>
      <w:r w:rsidR="00A55ACB" w:rsidRPr="273439B9">
        <w:rPr>
          <w:lang w:eastAsia="en-AU"/>
        </w:rPr>
        <w:t>ed</w:t>
      </w:r>
      <w:r w:rsidRPr="273439B9">
        <w:rPr>
          <w:lang w:eastAsia="en-AU"/>
        </w:rPr>
        <w:t xml:space="preserve"> a range of products to New Zealand, mainly protein powders, amino acid blends, bars and sports drinks. One manufacturer advised that the value of this segment of the market was approximately </w:t>
      </w:r>
      <w:r w:rsidR="7E9C51DA" w:rsidRPr="273439B9">
        <w:rPr>
          <w:lang w:eastAsia="en-AU"/>
        </w:rPr>
        <w:t xml:space="preserve">AU </w:t>
      </w:r>
      <w:r w:rsidRPr="273439B9">
        <w:rPr>
          <w:lang w:eastAsia="en-AU"/>
        </w:rPr>
        <w:t>$9 million. </w:t>
      </w:r>
      <w:r w:rsidRPr="273439B9">
        <w:rPr>
          <w:lang w:val="en-AU" w:eastAsia="en-AU"/>
        </w:rPr>
        <w:t> </w:t>
      </w:r>
    </w:p>
    <w:p w14:paraId="02FB03D6" w14:textId="7CAB2D3D" w:rsidR="002C7201" w:rsidRDefault="002C7201" w:rsidP="00251931">
      <w:pPr>
        <w:pStyle w:val="Heading3"/>
      </w:pPr>
      <w:bookmarkStart w:id="39" w:name="_Toc122602212"/>
      <w:r>
        <w:t>New Zealand Market</w:t>
      </w:r>
      <w:bookmarkEnd w:id="39"/>
    </w:p>
    <w:p w14:paraId="23D9026C" w14:textId="5C7F5560" w:rsidR="002C7201" w:rsidRPr="00FA3536" w:rsidRDefault="002C7201" w:rsidP="273439B9">
      <w:pPr>
        <w:spacing w:after="160"/>
        <w:textAlignment w:val="baseline"/>
        <w:rPr>
          <w:lang w:val="en-AU" w:eastAsia="en-AU"/>
        </w:rPr>
      </w:pPr>
      <w:r w:rsidRPr="273439B9">
        <w:rPr>
          <w:lang w:eastAsia="en-AU"/>
        </w:rPr>
        <w:t xml:space="preserve">In March 2010, FSANZ </w:t>
      </w:r>
      <w:r w:rsidR="00A55ACB" w:rsidRPr="273439B9">
        <w:rPr>
          <w:lang w:eastAsia="en-AU"/>
        </w:rPr>
        <w:t xml:space="preserve">also </w:t>
      </w:r>
      <w:r w:rsidRPr="273439B9">
        <w:rPr>
          <w:lang w:eastAsia="en-AU"/>
        </w:rPr>
        <w:t>engaged a consultant to undertake a survey of New Zealand sports food manufacturers and importers to gain an overview of the sports food industry in New Zealand. The consultant’s report form</w:t>
      </w:r>
      <w:r w:rsidR="66C34FDE" w:rsidRPr="273439B9">
        <w:rPr>
          <w:lang w:eastAsia="en-AU"/>
        </w:rPr>
        <w:t>s</w:t>
      </w:r>
      <w:r w:rsidRPr="273439B9">
        <w:rPr>
          <w:lang w:eastAsia="en-AU"/>
        </w:rPr>
        <w:t xml:space="preserve"> the basis of the information</w:t>
      </w:r>
      <w:r w:rsidR="25683510" w:rsidRPr="273439B9">
        <w:rPr>
          <w:lang w:eastAsia="en-AU"/>
        </w:rPr>
        <w:t xml:space="preserve"> below</w:t>
      </w:r>
      <w:r w:rsidRPr="273439B9">
        <w:rPr>
          <w:lang w:eastAsia="en-AU"/>
        </w:rPr>
        <w:t xml:space="preserve"> on the </w:t>
      </w:r>
      <w:r w:rsidR="7972E0E8" w:rsidRPr="273439B9">
        <w:rPr>
          <w:lang w:eastAsia="en-AU"/>
        </w:rPr>
        <w:t>Ne</w:t>
      </w:r>
      <w:r w:rsidR="6AEFC31A" w:rsidRPr="273439B9">
        <w:rPr>
          <w:lang w:eastAsia="en-AU"/>
        </w:rPr>
        <w:t>w</w:t>
      </w:r>
      <w:r w:rsidR="7972E0E8" w:rsidRPr="273439B9">
        <w:rPr>
          <w:lang w:eastAsia="en-AU"/>
        </w:rPr>
        <w:t xml:space="preserve"> Zealand </w:t>
      </w:r>
      <w:r w:rsidRPr="273439B9">
        <w:rPr>
          <w:lang w:eastAsia="en-AU"/>
        </w:rPr>
        <w:t>sports food market.</w:t>
      </w:r>
      <w:r w:rsidRPr="273439B9">
        <w:rPr>
          <w:lang w:val="en-AU" w:eastAsia="en-AU"/>
        </w:rPr>
        <w:t> </w:t>
      </w:r>
    </w:p>
    <w:p w14:paraId="1BD49857" w14:textId="7848CB8B" w:rsidR="002C7201" w:rsidRDefault="00A55ACB" w:rsidP="006B18A1">
      <w:pPr>
        <w:spacing w:after="160"/>
      </w:pPr>
      <w:r>
        <w:rPr>
          <w:rFonts w:eastAsia="Arial"/>
          <w:lang w:val="en-AU"/>
        </w:rPr>
        <w:t>More recent data from a</w:t>
      </w:r>
      <w:r w:rsidR="002C7201" w:rsidRPr="56AECBCA">
        <w:rPr>
          <w:rFonts w:eastAsia="Arial"/>
          <w:lang w:val="en-AU"/>
        </w:rPr>
        <w:t xml:space="preserve"> 2014 report by Statista estimated the total market size of sports nutrition products amounted to NZ</w:t>
      </w:r>
      <w:r w:rsidR="00E90F4C">
        <w:rPr>
          <w:rFonts w:eastAsia="Arial"/>
          <w:lang w:val="en-AU"/>
        </w:rPr>
        <w:t xml:space="preserve"> </w:t>
      </w:r>
      <w:r w:rsidR="002C7201" w:rsidRPr="56AECBCA">
        <w:rPr>
          <w:rFonts w:eastAsia="Arial"/>
          <w:lang w:val="en-AU"/>
        </w:rPr>
        <w:t>$47 million per year. This included protein powders, ready-to-drink (RTD) protein drinks, non-protein based drinks, protein bars and other protein-rich foods.</w:t>
      </w:r>
    </w:p>
    <w:p w14:paraId="4DF37E56" w14:textId="46BE967E" w:rsidR="002C7201" w:rsidRDefault="002C7201" w:rsidP="273439B9">
      <w:pPr>
        <w:pStyle w:val="Heading4"/>
      </w:pPr>
      <w:r>
        <w:lastRenderedPageBreak/>
        <w:t>Value</w:t>
      </w:r>
    </w:p>
    <w:p w14:paraId="76BC378F" w14:textId="1BB57DE6" w:rsidR="002C7201" w:rsidRPr="00FA3536" w:rsidRDefault="00A55ACB" w:rsidP="006B18A1">
      <w:pPr>
        <w:spacing w:after="160"/>
        <w:textAlignment w:val="baseline"/>
        <w:rPr>
          <w:rFonts w:ascii="Segoe UI" w:hAnsi="Segoe UI" w:cs="Segoe UI"/>
          <w:sz w:val="18"/>
          <w:szCs w:val="18"/>
          <w:lang w:val="en-AU" w:eastAsia="en-AU"/>
        </w:rPr>
      </w:pPr>
      <w:r>
        <w:rPr>
          <w:lang w:eastAsia="en-AU"/>
        </w:rPr>
        <w:t xml:space="preserve">The 2010 survey </w:t>
      </w:r>
      <w:r w:rsidR="00FB0D04">
        <w:rPr>
          <w:lang w:eastAsia="en-AU"/>
        </w:rPr>
        <w:t>found t</w:t>
      </w:r>
      <w:r w:rsidR="002C7201" w:rsidRPr="56AECBCA">
        <w:rPr>
          <w:lang w:eastAsia="en-AU"/>
        </w:rPr>
        <w:t>here was rapid growth in the market for sports food products in New Zealand over the decade prior. The total value of sports drinks, sports bars and nutritional sports supplements was conservatively estimated to be NZ</w:t>
      </w:r>
      <w:r w:rsidR="00E90F4C">
        <w:rPr>
          <w:lang w:eastAsia="en-AU"/>
        </w:rPr>
        <w:t xml:space="preserve"> </w:t>
      </w:r>
      <w:r w:rsidR="002C7201" w:rsidRPr="56AECBCA">
        <w:rPr>
          <w:lang w:eastAsia="en-AU"/>
        </w:rPr>
        <w:t>$71 million</w:t>
      </w:r>
      <w:r w:rsidR="002C7201" w:rsidRPr="56AECBCA">
        <w:rPr>
          <w:rStyle w:val="FootnoteReference"/>
          <w:lang w:eastAsia="en-AU"/>
        </w:rPr>
        <w:footnoteReference w:id="30"/>
      </w:r>
      <w:r w:rsidR="002C7201" w:rsidRPr="56AECBCA">
        <w:rPr>
          <w:lang w:eastAsia="en-AU"/>
        </w:rPr>
        <w:t>. Industry sources estimated that</w:t>
      </w:r>
      <w:r w:rsidR="002C7201" w:rsidRPr="56AECBCA">
        <w:rPr>
          <w:color w:val="7030A0"/>
          <w:lang w:eastAsia="en-AU"/>
        </w:rPr>
        <w:t xml:space="preserve"> </w:t>
      </w:r>
      <w:r w:rsidR="002C7201" w:rsidRPr="56AECBCA">
        <w:rPr>
          <w:lang w:eastAsia="en-AU"/>
        </w:rPr>
        <w:t>supermarket sales made up approximately 52% of the total sports food market in New Zealand. The remaining 48% represented products purchased from service stations, convenience stores, gyms, pharmacies, fitness centres, stores servicing the body-building sector, and health food stores. These figures excluded internet sales. </w:t>
      </w:r>
      <w:r w:rsidR="002C7201" w:rsidRPr="56AECBCA">
        <w:rPr>
          <w:lang w:val="en-AU" w:eastAsia="en-AU"/>
        </w:rPr>
        <w:t> </w:t>
      </w:r>
    </w:p>
    <w:p w14:paraId="588911DC" w14:textId="31BF86D7" w:rsidR="002C7201" w:rsidRPr="006B18A1" w:rsidRDefault="002C7201" w:rsidP="006B18A1">
      <w:pPr>
        <w:spacing w:after="160"/>
        <w:textAlignment w:val="baseline"/>
        <w:rPr>
          <w:rFonts w:ascii="Segoe UI" w:hAnsi="Segoe UI" w:cs="Segoe UI"/>
          <w:sz w:val="18"/>
          <w:szCs w:val="18"/>
          <w:lang w:val="en-AU" w:eastAsia="en-AU"/>
        </w:rPr>
      </w:pPr>
      <w:r w:rsidRPr="273439B9">
        <w:rPr>
          <w:lang w:eastAsia="en-AU"/>
        </w:rPr>
        <w:t>Sports bars and supplements were valued at NZ</w:t>
      </w:r>
      <w:r w:rsidR="51A5C9CD" w:rsidRPr="273439B9">
        <w:rPr>
          <w:lang w:eastAsia="en-AU"/>
        </w:rPr>
        <w:t xml:space="preserve"> </w:t>
      </w:r>
      <w:r w:rsidRPr="273439B9">
        <w:rPr>
          <w:lang w:eastAsia="en-AU"/>
        </w:rPr>
        <w:t>$46.3 million, which is approximately 65% of the retail market for sports food products in New Zealand. NZ</w:t>
      </w:r>
      <w:r w:rsidR="0353980C" w:rsidRPr="273439B9">
        <w:rPr>
          <w:lang w:eastAsia="en-AU"/>
        </w:rPr>
        <w:t xml:space="preserve"> </w:t>
      </w:r>
      <w:r w:rsidRPr="273439B9">
        <w:rPr>
          <w:lang w:eastAsia="en-AU"/>
        </w:rPr>
        <w:t>$28 million (39%) was the value of products purchased in convenience, sports or health food stores while NZ</w:t>
      </w:r>
      <w:r w:rsidR="5835F7B2" w:rsidRPr="273439B9">
        <w:rPr>
          <w:lang w:eastAsia="en-AU"/>
        </w:rPr>
        <w:t xml:space="preserve"> </w:t>
      </w:r>
      <w:r w:rsidRPr="273439B9">
        <w:rPr>
          <w:lang w:eastAsia="en-AU"/>
        </w:rPr>
        <w:t>$18.3</w:t>
      </w:r>
      <w:r w:rsidR="39455267" w:rsidRPr="273439B9">
        <w:rPr>
          <w:lang w:eastAsia="en-AU"/>
        </w:rPr>
        <w:t xml:space="preserve"> </w:t>
      </w:r>
      <w:r w:rsidRPr="273439B9">
        <w:rPr>
          <w:lang w:eastAsia="en-AU"/>
        </w:rPr>
        <w:t>million (26%) was spent in supermarkets. </w:t>
      </w:r>
      <w:r w:rsidRPr="273439B9">
        <w:rPr>
          <w:lang w:val="en-AU" w:eastAsia="en-AU"/>
        </w:rPr>
        <w:t> </w:t>
      </w:r>
    </w:p>
    <w:p w14:paraId="1D7F17CA" w14:textId="77777777" w:rsidR="002C7201" w:rsidRPr="00FA3536" w:rsidRDefault="002C7201" w:rsidP="006B18A1">
      <w:pPr>
        <w:spacing w:after="160"/>
        <w:textAlignment w:val="baseline"/>
        <w:rPr>
          <w:lang w:val="en-AU" w:eastAsia="en-AU"/>
        </w:rPr>
      </w:pPr>
      <w:r w:rsidRPr="56AECBCA">
        <w:rPr>
          <w:lang w:eastAsia="en-AU"/>
        </w:rPr>
        <w:t xml:space="preserve">Products included protein powders, protein bars and specialty supplements. </w:t>
      </w:r>
    </w:p>
    <w:p w14:paraId="18A047B4" w14:textId="4E697D40" w:rsidR="002C7201" w:rsidRDefault="002C7201" w:rsidP="273439B9">
      <w:pPr>
        <w:pStyle w:val="Heading4"/>
      </w:pPr>
      <w:r>
        <w:t>Local and imported products</w:t>
      </w:r>
    </w:p>
    <w:p w14:paraId="0D783F48" w14:textId="77777777" w:rsidR="002C7201" w:rsidRDefault="002C7201" w:rsidP="006B18A1">
      <w:pPr>
        <w:spacing w:after="160"/>
        <w:textAlignment w:val="baseline"/>
        <w:rPr>
          <w:lang w:val="en-AU" w:eastAsia="en-AU"/>
        </w:rPr>
      </w:pPr>
      <w:r w:rsidRPr="00FA3536">
        <w:rPr>
          <w:lang w:eastAsia="en-AU"/>
        </w:rPr>
        <w:t>Based on the product survey, approximately 40% of products were manufactured locally. Of the 60% imported brands, the majority were manufactured in the United States and Canada, while the remaining brands came from Australia, Germany, South Africa and Switzerland. However, the percentage of imported products varied with the product category. Some respondents noted that a large majority of ready-to-drink beverages was manufactured in New Zealand. Others informed FSANZ that dietary supplements were mainly imported while about half the protein powder products were imported and half were manufactured locally. </w:t>
      </w:r>
      <w:r w:rsidRPr="00FA3536">
        <w:rPr>
          <w:lang w:val="en-AU" w:eastAsia="en-AU"/>
        </w:rPr>
        <w:t> </w:t>
      </w:r>
    </w:p>
    <w:p w14:paraId="2BD44066" w14:textId="223C92B3" w:rsidR="00DC6255" w:rsidRDefault="00DC6255" w:rsidP="00251931">
      <w:pPr>
        <w:pStyle w:val="Heading3"/>
        <w:rPr>
          <w:lang w:val="en-AU"/>
        </w:rPr>
      </w:pPr>
      <w:bookmarkStart w:id="40" w:name="_Toc122602213"/>
      <w:r w:rsidRPr="273439B9">
        <w:rPr>
          <w:lang w:val="en-AU"/>
        </w:rPr>
        <w:t>Questions</w:t>
      </w:r>
      <w:bookmarkEnd w:id="40"/>
    </w:p>
    <w:p w14:paraId="6324D812" w14:textId="3D2E15DE" w:rsidR="00DC6255" w:rsidRPr="002F7AC1" w:rsidRDefault="009A2030" w:rsidP="009A2030">
      <w:pPr>
        <w:pStyle w:val="FSBullet1"/>
        <w:numPr>
          <w:ilvl w:val="0"/>
          <w:numId w:val="0"/>
        </w:numPr>
        <w:spacing w:before="120" w:after="120"/>
        <w:ind w:left="709" w:hanging="709"/>
        <w:rPr>
          <w:lang w:val="en-AU" w:eastAsia="en-AU"/>
        </w:rPr>
      </w:pPr>
      <w:r>
        <w:rPr>
          <w:lang w:val="en-AU" w:eastAsia="en-AU"/>
        </w:rPr>
        <w:t>Q1.</w:t>
      </w:r>
      <w:r>
        <w:rPr>
          <w:lang w:val="en-AU" w:eastAsia="en-AU"/>
        </w:rPr>
        <w:tab/>
      </w:r>
      <w:r w:rsidR="000D7C23" w:rsidRPr="4DBF8B01">
        <w:rPr>
          <w:lang w:val="en-AU" w:eastAsia="en-AU"/>
        </w:rPr>
        <w:t xml:space="preserve">For </w:t>
      </w:r>
      <w:r w:rsidR="000D7C23" w:rsidRPr="009A2030">
        <w:rPr>
          <w:lang w:val="en-AU" w:eastAsia="en-AU"/>
        </w:rPr>
        <w:t>industry</w:t>
      </w:r>
      <w:r w:rsidR="000D7C23" w:rsidRPr="4DBF8B01">
        <w:rPr>
          <w:lang w:val="en-AU" w:eastAsia="en-AU"/>
        </w:rPr>
        <w:t xml:space="preserve"> or regulators, do you have market or product data </w:t>
      </w:r>
      <w:r w:rsidR="007D009F" w:rsidRPr="4DBF8B01">
        <w:rPr>
          <w:lang w:val="en-AU" w:eastAsia="en-AU"/>
        </w:rPr>
        <w:t xml:space="preserve">or information </w:t>
      </w:r>
      <w:r w:rsidR="000D7C23" w:rsidRPr="4DBF8B01">
        <w:rPr>
          <w:lang w:val="en-AU" w:eastAsia="en-AU"/>
        </w:rPr>
        <w:t>that you would like to provide to update FSANZ</w:t>
      </w:r>
      <w:r w:rsidR="1B37646B" w:rsidRPr="4DBF8B01">
        <w:rPr>
          <w:lang w:val="en-AU" w:eastAsia="en-AU"/>
        </w:rPr>
        <w:t>’</w:t>
      </w:r>
      <w:r w:rsidR="000D7C23" w:rsidRPr="4DBF8B01">
        <w:rPr>
          <w:lang w:val="en-AU" w:eastAsia="en-AU"/>
        </w:rPr>
        <w:t xml:space="preserve">s understanding of the current </w:t>
      </w:r>
      <w:r w:rsidR="3780FC02" w:rsidRPr="4DBF8B01">
        <w:rPr>
          <w:lang w:val="en-AU" w:eastAsia="en-AU"/>
        </w:rPr>
        <w:t xml:space="preserve">sports food </w:t>
      </w:r>
      <w:r w:rsidR="000D7C23" w:rsidRPr="4DBF8B01">
        <w:rPr>
          <w:lang w:val="en-AU" w:eastAsia="en-AU"/>
        </w:rPr>
        <w:t>market in Australia, New Zealand or globally?</w:t>
      </w:r>
    </w:p>
    <w:p w14:paraId="0ADDD3F6" w14:textId="77777777" w:rsidR="00F249FC" w:rsidRPr="00FA3536" w:rsidRDefault="00F249FC" w:rsidP="006B18A1">
      <w:pPr>
        <w:spacing w:after="160"/>
        <w:textAlignment w:val="baseline"/>
        <w:rPr>
          <w:rFonts w:ascii="Segoe UI" w:hAnsi="Segoe UI" w:cs="Segoe UI"/>
          <w:sz w:val="18"/>
          <w:szCs w:val="18"/>
          <w:lang w:val="en-AU" w:eastAsia="en-AU"/>
        </w:rPr>
      </w:pPr>
    </w:p>
    <w:p w14:paraId="65463F8A" w14:textId="4D55C819" w:rsidR="002C7201" w:rsidRDefault="002C7201" w:rsidP="002C7201">
      <w:pPr>
        <w:pStyle w:val="Heading1"/>
        <w:rPr>
          <w:lang w:eastAsia="en-AU"/>
        </w:rPr>
      </w:pPr>
      <w:bookmarkStart w:id="41" w:name="_Toc122602214"/>
      <w:r w:rsidRPr="273439B9">
        <w:rPr>
          <w:lang w:eastAsia="en-AU"/>
        </w:rPr>
        <w:t>Regulatory Considerations</w:t>
      </w:r>
      <w:bookmarkEnd w:id="41"/>
    </w:p>
    <w:p w14:paraId="666F9E2A" w14:textId="787989AD" w:rsidR="002C7201" w:rsidRDefault="002C7201" w:rsidP="006B18A1">
      <w:pPr>
        <w:spacing w:after="160"/>
        <w:rPr>
          <w:rFonts w:eastAsia="Calibri"/>
        </w:rPr>
      </w:pPr>
      <w:r>
        <w:t>FSANZ</w:t>
      </w:r>
      <w:r w:rsidR="162931F9">
        <w:t>’</w:t>
      </w:r>
      <w:r>
        <w:t>s highest priority is to protect the health and safety of consumers</w:t>
      </w:r>
      <w:r w:rsidR="3AD41CA8">
        <w:t xml:space="preserve"> </w:t>
      </w:r>
      <w:r>
        <w:t xml:space="preserve">though the assessment of risk to target and non-target groups. The development of </w:t>
      </w:r>
      <w:r w:rsidR="00A40493">
        <w:t>effective</w:t>
      </w:r>
      <w:r>
        <w:t xml:space="preserve"> regulat</w:t>
      </w:r>
      <w:r w:rsidR="00A40493">
        <w:t xml:space="preserve">ory measures that are easy to understand and enforceable </w:t>
      </w:r>
      <w:r w:rsidR="2C4B3F27">
        <w:t>aims</w:t>
      </w:r>
      <w:r>
        <w:t xml:space="preserve"> to provide clarity for industry, consumers and enforcement agencies. </w:t>
      </w:r>
    </w:p>
    <w:p w14:paraId="4A3D7B43" w14:textId="56E72E3A" w:rsidR="002C7201" w:rsidRDefault="002C7201" w:rsidP="00324B88">
      <w:pPr>
        <w:pStyle w:val="Heading2"/>
      </w:pPr>
      <w:bookmarkStart w:id="42" w:name="_Toc122602215"/>
      <w:r>
        <w:t>The purpose of Standard 2.9.4</w:t>
      </w:r>
      <w:bookmarkEnd w:id="42"/>
    </w:p>
    <w:p w14:paraId="6E07F9B2" w14:textId="1796DA48" w:rsidR="002C7201" w:rsidRDefault="002C7201" w:rsidP="00251931">
      <w:pPr>
        <w:pStyle w:val="Heading3"/>
      </w:pPr>
      <w:bookmarkStart w:id="43" w:name="_Toc122602216"/>
      <w:r>
        <w:t>Special purpose vs general purpose foods</w:t>
      </w:r>
      <w:bookmarkEnd w:id="43"/>
    </w:p>
    <w:p w14:paraId="43FE121E" w14:textId="2FED49E4" w:rsidR="002C7201" w:rsidRDefault="002C7201" w:rsidP="00D723B5">
      <w:pPr>
        <w:widowControl/>
        <w:spacing w:after="160"/>
        <w:rPr>
          <w:lang w:eastAsia="en-AU"/>
        </w:rPr>
      </w:pPr>
      <w:r w:rsidRPr="4DBF8B01">
        <w:rPr>
          <w:lang w:eastAsia="en-AU"/>
        </w:rPr>
        <w:t>The high-level purpose of foods is one of the fundamental concepts underpinning the Code and is of particular importance to the regulation of sports food</w:t>
      </w:r>
      <w:r w:rsidR="04A826B6" w:rsidRPr="4DBF8B01">
        <w:rPr>
          <w:lang w:eastAsia="en-AU"/>
        </w:rPr>
        <w:t>s</w:t>
      </w:r>
      <w:r w:rsidRPr="4DBF8B01">
        <w:rPr>
          <w:lang w:eastAsia="en-AU"/>
        </w:rPr>
        <w:t xml:space="preserve">. Historically, only two broad categories of purpose were tacitly recognised in food regulation – special purpose foods (Part 2.9 of the Code) and </w:t>
      </w:r>
      <w:bookmarkStart w:id="44" w:name="_Int_QKNSa5gI"/>
      <w:r w:rsidRPr="4DBF8B01">
        <w:rPr>
          <w:lang w:eastAsia="en-AU"/>
        </w:rPr>
        <w:t>general purpose</w:t>
      </w:r>
      <w:bookmarkEnd w:id="44"/>
      <w:r w:rsidRPr="4DBF8B01">
        <w:rPr>
          <w:lang w:eastAsia="en-AU"/>
        </w:rPr>
        <w:t xml:space="preserve"> foods (Chapter 2 except Part 2.9 of the Code).</w:t>
      </w:r>
    </w:p>
    <w:p w14:paraId="11EC1375" w14:textId="74F2BC2A" w:rsidR="002C7201" w:rsidRDefault="002C7201" w:rsidP="002C7201">
      <w:pPr>
        <w:pStyle w:val="Heading4"/>
        <w:rPr>
          <w:lang w:eastAsia="en-AU"/>
        </w:rPr>
      </w:pPr>
      <w:r>
        <w:rPr>
          <w:lang w:eastAsia="en-AU"/>
        </w:rPr>
        <w:t>General purpose foods</w:t>
      </w:r>
    </w:p>
    <w:p w14:paraId="60578930" w14:textId="269F217E" w:rsidR="0022448C" w:rsidRDefault="00150D9C" w:rsidP="006B18A1">
      <w:pPr>
        <w:spacing w:after="160"/>
        <w:rPr>
          <w:rStyle w:val="normaltextrun"/>
          <w:shd w:val="clear" w:color="auto" w:fill="FFFFFF"/>
        </w:rPr>
      </w:pPr>
      <w:r>
        <w:rPr>
          <w:rStyle w:val="normaltextrun"/>
          <w:shd w:val="clear" w:color="auto" w:fill="FFFFFF"/>
        </w:rPr>
        <w:t xml:space="preserve">The Code does not </w:t>
      </w:r>
      <w:r w:rsidR="00DB646E">
        <w:rPr>
          <w:rStyle w:val="normaltextrun"/>
          <w:shd w:val="clear" w:color="auto" w:fill="FFFFFF"/>
        </w:rPr>
        <w:t xml:space="preserve">contain a definition of what is a </w:t>
      </w:r>
      <w:r w:rsidR="002C7201">
        <w:rPr>
          <w:rStyle w:val="normaltextrun"/>
          <w:shd w:val="clear" w:color="auto" w:fill="FFFFFF"/>
        </w:rPr>
        <w:t>general purpose food</w:t>
      </w:r>
      <w:r w:rsidR="00DB646E">
        <w:rPr>
          <w:rStyle w:val="normaltextrun"/>
          <w:shd w:val="clear" w:color="auto" w:fill="FFFFFF"/>
        </w:rPr>
        <w:t xml:space="preserve">. Its approach is </w:t>
      </w:r>
      <w:r w:rsidR="00B61C2E">
        <w:rPr>
          <w:rStyle w:val="normaltextrun"/>
          <w:shd w:val="clear" w:color="auto" w:fill="FFFFFF"/>
        </w:rPr>
        <w:t xml:space="preserve">to </w:t>
      </w:r>
      <w:r w:rsidR="00B61C2E">
        <w:rPr>
          <w:rStyle w:val="normaltextrun"/>
          <w:shd w:val="clear" w:color="auto" w:fill="FFFFFF"/>
        </w:rPr>
        <w:lastRenderedPageBreak/>
        <w:t xml:space="preserve">impose requirements </w:t>
      </w:r>
      <w:r w:rsidR="00C136D6">
        <w:rPr>
          <w:rStyle w:val="normaltextrun"/>
          <w:shd w:val="clear" w:color="auto" w:fill="FFFFFF"/>
        </w:rPr>
        <w:t>that</w:t>
      </w:r>
      <w:r w:rsidR="00B61C2E">
        <w:rPr>
          <w:rStyle w:val="normaltextrun"/>
          <w:shd w:val="clear" w:color="auto" w:fill="FFFFFF"/>
        </w:rPr>
        <w:t xml:space="preserve"> apply to</w:t>
      </w:r>
      <w:r w:rsidR="00074B21">
        <w:rPr>
          <w:rStyle w:val="normaltextrun"/>
          <w:shd w:val="clear" w:color="auto" w:fill="FFFFFF"/>
        </w:rPr>
        <w:t xml:space="preserve"> </w:t>
      </w:r>
      <w:r w:rsidR="0022448C">
        <w:rPr>
          <w:rStyle w:val="normaltextrun"/>
          <w:shd w:val="clear" w:color="auto" w:fill="FFFFFF"/>
        </w:rPr>
        <w:t xml:space="preserve">any </w:t>
      </w:r>
      <w:r w:rsidR="00B61C2E">
        <w:rPr>
          <w:rStyle w:val="normaltextrun"/>
          <w:shd w:val="clear" w:color="auto" w:fill="FFFFFF"/>
        </w:rPr>
        <w:t>food for sale</w:t>
      </w:r>
      <w:r w:rsidR="00074B21">
        <w:rPr>
          <w:rStyle w:val="normaltextrun"/>
          <w:shd w:val="clear" w:color="auto" w:fill="FFFFFF"/>
        </w:rPr>
        <w:t>, consistent with the Food Acts</w:t>
      </w:r>
      <w:r w:rsidR="0022448C">
        <w:rPr>
          <w:rStyle w:val="normaltextrun"/>
          <w:shd w:val="clear" w:color="auto" w:fill="FFFFFF"/>
        </w:rPr>
        <w:t xml:space="preserve">, and then to set particular </w:t>
      </w:r>
      <w:r w:rsidR="005D5A6F">
        <w:rPr>
          <w:rStyle w:val="normaltextrun"/>
          <w:shd w:val="clear" w:color="auto" w:fill="FFFFFF"/>
        </w:rPr>
        <w:t xml:space="preserve">composition and labelling </w:t>
      </w:r>
      <w:r w:rsidR="0022448C">
        <w:rPr>
          <w:rStyle w:val="normaltextrun"/>
          <w:shd w:val="clear" w:color="auto" w:fill="FFFFFF"/>
        </w:rPr>
        <w:t xml:space="preserve">requirements for </w:t>
      </w:r>
      <w:r w:rsidR="005D5A6F">
        <w:rPr>
          <w:rStyle w:val="normaltextrun"/>
          <w:shd w:val="clear" w:color="auto" w:fill="FFFFFF"/>
        </w:rPr>
        <w:t>those food</w:t>
      </w:r>
      <w:r w:rsidR="00C143C6">
        <w:rPr>
          <w:rStyle w:val="normaltextrun"/>
          <w:shd w:val="clear" w:color="auto" w:fill="FFFFFF"/>
        </w:rPr>
        <w:t>s</w:t>
      </w:r>
      <w:r w:rsidR="005D5A6F">
        <w:rPr>
          <w:rStyle w:val="normaltextrun"/>
          <w:shd w:val="clear" w:color="auto" w:fill="FFFFFF"/>
        </w:rPr>
        <w:t xml:space="preserve"> for sale that fall within certain definitions or categories </w:t>
      </w:r>
      <w:r w:rsidR="00275FF7">
        <w:rPr>
          <w:rStyle w:val="normaltextrun"/>
          <w:shd w:val="clear" w:color="auto" w:fill="FFFFFF"/>
        </w:rPr>
        <w:t>(</w:t>
      </w:r>
      <w:r w:rsidR="00570ECE">
        <w:rPr>
          <w:rStyle w:val="normaltextrun"/>
          <w:shd w:val="clear" w:color="auto" w:fill="FFFFFF"/>
        </w:rPr>
        <w:t>i.e.</w:t>
      </w:r>
      <w:r w:rsidR="00275FF7">
        <w:rPr>
          <w:rStyle w:val="normaltextrun"/>
          <w:shd w:val="clear" w:color="auto" w:fill="FFFFFF"/>
        </w:rPr>
        <w:t>, special purpose foods</w:t>
      </w:r>
      <w:r w:rsidR="00B30C4D">
        <w:rPr>
          <w:rStyle w:val="normaltextrun"/>
          <w:shd w:val="clear" w:color="auto" w:fill="FFFFFF"/>
        </w:rPr>
        <w:t>, novel foods, prohibited or restricted plant etc)</w:t>
      </w:r>
      <w:r w:rsidR="00D4231C">
        <w:rPr>
          <w:rStyle w:val="normaltextrun"/>
          <w:shd w:val="clear" w:color="auto" w:fill="FFFFFF"/>
        </w:rPr>
        <w:t>.</w:t>
      </w:r>
    </w:p>
    <w:p w14:paraId="0465FA51" w14:textId="3A2A74F6" w:rsidR="002C7201" w:rsidRDefault="002C7201" w:rsidP="00C4631E">
      <w:pPr>
        <w:pStyle w:val="Heading4"/>
        <w:rPr>
          <w:lang w:eastAsia="en-AU"/>
        </w:rPr>
      </w:pPr>
      <w:r>
        <w:rPr>
          <w:lang w:eastAsia="en-AU"/>
        </w:rPr>
        <w:t>Special purpose foods</w:t>
      </w:r>
    </w:p>
    <w:p w14:paraId="17A3DB3B" w14:textId="77777777" w:rsidR="00A54888" w:rsidRDefault="00A54888" w:rsidP="273439B9">
      <w:pPr>
        <w:spacing w:after="160"/>
        <w:textAlignment w:val="baseline"/>
        <w:rPr>
          <w:lang w:eastAsia="en-AU"/>
        </w:rPr>
      </w:pPr>
      <w:r>
        <w:rPr>
          <w:lang w:eastAsia="en-AU"/>
        </w:rPr>
        <w:t xml:space="preserve">The policy guideline </w:t>
      </w:r>
      <w:r w:rsidRPr="00A54888">
        <w:rPr>
          <w:lang w:eastAsia="en-AU"/>
        </w:rPr>
        <w:t>on intent of Part 2.9 – Special Purpose Foods of the Australia New Zealand Food Standards Code (the Policy Guideline) distinguishes between special purpose foods covered by Part 2.9 of the Code and other food regulated elsewhere in the Cod</w:t>
      </w:r>
      <w:r>
        <w:rPr>
          <w:lang w:eastAsia="en-AU"/>
        </w:rPr>
        <w:t>e.</w:t>
      </w:r>
    </w:p>
    <w:p w14:paraId="01066530" w14:textId="427E85DD" w:rsidR="00A54888" w:rsidRPr="00A54888" w:rsidRDefault="00A54888" w:rsidP="00A54888">
      <w:pPr>
        <w:spacing w:after="160"/>
        <w:textAlignment w:val="baseline"/>
        <w:rPr>
          <w:lang w:eastAsia="en-AU"/>
        </w:rPr>
      </w:pPr>
      <w:r>
        <w:rPr>
          <w:lang w:eastAsia="en-AU"/>
        </w:rPr>
        <w:t>The Policy Guideline s</w:t>
      </w:r>
      <w:r w:rsidRPr="00A54888">
        <w:rPr>
          <w:lang w:eastAsia="en-AU"/>
        </w:rPr>
        <w:t>pecifies the target population for special purpose foods as</w:t>
      </w:r>
      <w:r>
        <w:rPr>
          <w:lang w:eastAsia="en-AU"/>
        </w:rPr>
        <w:t xml:space="preserve"> ‘p</w:t>
      </w:r>
      <w:r w:rsidRPr="00A54888">
        <w:rPr>
          <w:lang w:eastAsia="en-AU"/>
        </w:rPr>
        <w:t>hysiologically vulnerable individuals and population sub-groups</w:t>
      </w:r>
      <w:r>
        <w:rPr>
          <w:lang w:eastAsia="en-AU"/>
        </w:rPr>
        <w:t>’</w:t>
      </w:r>
      <w:r w:rsidRPr="00A54888">
        <w:rPr>
          <w:lang w:eastAsia="en-AU"/>
        </w:rPr>
        <w:t xml:space="preserve"> in situations where there is risk of dietary inadequacy to support: </w:t>
      </w:r>
    </w:p>
    <w:p w14:paraId="6D649264" w14:textId="006500F2" w:rsidR="00A54888" w:rsidRPr="00A54888" w:rsidRDefault="00A54888" w:rsidP="00A54888">
      <w:pPr>
        <w:pStyle w:val="ListParagraph"/>
        <w:numPr>
          <w:ilvl w:val="0"/>
          <w:numId w:val="24"/>
        </w:numPr>
        <w:textAlignment w:val="baseline"/>
        <w:rPr>
          <w:lang w:eastAsia="en-AU"/>
        </w:rPr>
      </w:pPr>
      <w:r w:rsidRPr="00A54888">
        <w:rPr>
          <w:lang w:eastAsia="en-AU"/>
        </w:rPr>
        <w:t xml:space="preserve">physical and physiological need arising from specific life stages (e.g. infancy), physical disease, disorder and disability; or </w:t>
      </w:r>
    </w:p>
    <w:p w14:paraId="4650E9C2" w14:textId="52C88D28" w:rsidR="00A54888" w:rsidRPr="00A54888" w:rsidRDefault="00A54888" w:rsidP="00A54888">
      <w:pPr>
        <w:pStyle w:val="ListParagraph"/>
        <w:numPr>
          <w:ilvl w:val="0"/>
          <w:numId w:val="24"/>
        </w:numPr>
        <w:textAlignment w:val="baseline"/>
        <w:rPr>
          <w:lang w:eastAsia="en-AU"/>
        </w:rPr>
      </w:pPr>
      <w:r w:rsidRPr="00A54888">
        <w:rPr>
          <w:lang w:eastAsia="en-AU"/>
        </w:rPr>
        <w:t>physical and physiological conditions that require altered energy intake;</w:t>
      </w:r>
    </w:p>
    <w:p w14:paraId="29249E5B" w14:textId="1FB0063C" w:rsidR="00A54888" w:rsidRPr="00A54888" w:rsidRDefault="00A54888" w:rsidP="00A54888">
      <w:pPr>
        <w:spacing w:after="160"/>
        <w:textAlignment w:val="baseline"/>
        <w:rPr>
          <w:lang w:eastAsia="en-AU"/>
        </w:rPr>
      </w:pPr>
      <w:r w:rsidRPr="00A54888">
        <w:rPr>
          <w:lang w:eastAsia="en-AU"/>
        </w:rPr>
        <w:t>that occasion the use of special purpose food</w:t>
      </w:r>
      <w:r>
        <w:rPr>
          <w:lang w:eastAsia="en-AU"/>
        </w:rPr>
        <w:t>’</w:t>
      </w:r>
      <w:r w:rsidRPr="00A54888">
        <w:rPr>
          <w:lang w:eastAsia="en-AU"/>
        </w:rPr>
        <w:t>.</w:t>
      </w:r>
    </w:p>
    <w:p w14:paraId="0516BA40" w14:textId="5660102E" w:rsidR="00A54888" w:rsidRPr="00A54888" w:rsidRDefault="00A54888" w:rsidP="00A54888">
      <w:pPr>
        <w:spacing w:after="160"/>
        <w:textAlignment w:val="baseline"/>
        <w:rPr>
          <w:rStyle w:val="cf01"/>
          <w:rFonts w:ascii="Arial" w:hAnsi="Arial" w:cs="Times New Roman"/>
          <w:sz w:val="22"/>
          <w:szCs w:val="24"/>
          <w:lang w:eastAsia="en-AU"/>
        </w:rPr>
      </w:pPr>
      <w:r w:rsidRPr="00A54888">
        <w:rPr>
          <w:lang w:eastAsia="en-AU"/>
        </w:rPr>
        <w:t>The Policy Guideline also states that requirements within Part 2.9 of the Code are prescribed relative to the particular intended dietary use of the food.</w:t>
      </w:r>
    </w:p>
    <w:p w14:paraId="598D986A" w14:textId="41A0AE96" w:rsidR="002C7201" w:rsidRDefault="002C7201" w:rsidP="00324B88">
      <w:pPr>
        <w:pStyle w:val="Heading2"/>
      </w:pPr>
      <w:bookmarkStart w:id="45" w:name="_Toc122602217"/>
      <w:r>
        <w:t>Definitions</w:t>
      </w:r>
      <w:bookmarkEnd w:id="45"/>
    </w:p>
    <w:p w14:paraId="0347F2C9" w14:textId="04137629" w:rsidR="002B5EA3" w:rsidRPr="00B26614" w:rsidRDefault="5ADC6E64" w:rsidP="002B5EA3">
      <w:pPr>
        <w:spacing w:after="160"/>
        <w:rPr>
          <w:lang w:val="en-AU" w:eastAsia="en-AU"/>
        </w:rPr>
      </w:pPr>
      <w:r w:rsidRPr="5E7CA050">
        <w:rPr>
          <w:lang w:eastAsia="en-AU"/>
        </w:rPr>
        <w:t xml:space="preserve">In </w:t>
      </w:r>
      <w:r w:rsidR="2E5B06E3" w:rsidRPr="5E7CA050">
        <w:rPr>
          <w:lang w:eastAsia="en-AU"/>
        </w:rPr>
        <w:t>the Code</w:t>
      </w:r>
      <w:r w:rsidRPr="5E7CA050">
        <w:rPr>
          <w:lang w:eastAsia="en-AU"/>
        </w:rPr>
        <w:t xml:space="preserve">, an FSSF </w:t>
      </w:r>
      <w:r w:rsidRPr="5E7CA050">
        <w:rPr>
          <w:rFonts w:eastAsia="Calibri"/>
        </w:rPr>
        <w:t>is a product that is specifically formulated to assist sports people in achieving specific nutritional or performance goals.</w:t>
      </w:r>
      <w:r w:rsidRPr="5E7CA050">
        <w:rPr>
          <w:lang w:eastAsia="en-AU"/>
        </w:rPr>
        <w:t xml:space="preserve"> </w:t>
      </w:r>
      <w:r w:rsidR="4E44B8D9" w:rsidRPr="5E7CA050">
        <w:rPr>
          <w:lang w:eastAsia="en-AU"/>
        </w:rPr>
        <w:t xml:space="preserve">As </w:t>
      </w:r>
      <w:r w:rsidRPr="5E7CA050">
        <w:rPr>
          <w:lang w:eastAsia="en-AU"/>
        </w:rPr>
        <w:t>‘special purpose’ foods</w:t>
      </w:r>
      <w:r w:rsidR="10567209" w:rsidRPr="5E7CA050">
        <w:rPr>
          <w:lang w:eastAsia="en-AU"/>
        </w:rPr>
        <w:t>, FSSF</w:t>
      </w:r>
      <w:r w:rsidRPr="5E7CA050">
        <w:rPr>
          <w:lang w:eastAsia="en-AU"/>
        </w:rPr>
        <w:t xml:space="preserve"> may contain specified ingredients which are either not permitted to be added to ‘general purpose’ foods and drinks or are </w:t>
      </w:r>
      <w:r w:rsidR="0C8A298D" w:rsidRPr="5E7CA050">
        <w:rPr>
          <w:lang w:eastAsia="en-AU"/>
        </w:rPr>
        <w:t>permitted to be</w:t>
      </w:r>
      <w:r w:rsidRPr="5E7CA050">
        <w:rPr>
          <w:lang w:eastAsia="en-AU"/>
        </w:rPr>
        <w:t xml:space="preserve"> added at a </w:t>
      </w:r>
      <w:r w:rsidR="684E7FC5" w:rsidRPr="5E7CA050">
        <w:rPr>
          <w:lang w:eastAsia="en-AU"/>
        </w:rPr>
        <w:t>different</w:t>
      </w:r>
      <w:r w:rsidRPr="5E7CA050">
        <w:rPr>
          <w:lang w:eastAsia="en-AU"/>
        </w:rPr>
        <w:t xml:space="preserve"> level. </w:t>
      </w:r>
      <w:r w:rsidR="005C6840">
        <w:rPr>
          <w:lang w:eastAsia="en-AU"/>
        </w:rPr>
        <w:t>FSSF</w:t>
      </w:r>
      <w:r w:rsidRPr="5E7CA050">
        <w:rPr>
          <w:lang w:eastAsia="en-AU"/>
        </w:rPr>
        <w:t xml:space="preserve"> are intended as supplementary to a diet rather than for use as the sole or principal source of nutrition. </w:t>
      </w:r>
    </w:p>
    <w:p w14:paraId="7A39B5F9" w14:textId="2A98D6CE" w:rsidR="002B5EA3" w:rsidRPr="00706A30" w:rsidRDefault="002B5EA3" w:rsidP="002B5EA3">
      <w:pPr>
        <w:spacing w:after="160"/>
        <w:rPr>
          <w:rStyle w:val="normaltextrun"/>
        </w:rPr>
      </w:pPr>
      <w:r>
        <w:t xml:space="preserve">The </w:t>
      </w:r>
      <w:r w:rsidR="006E3033">
        <w:t>sports foods</w:t>
      </w:r>
      <w:r w:rsidR="00242280">
        <w:t xml:space="preserve"> </w:t>
      </w:r>
      <w:r>
        <w:t xml:space="preserve">definition in the Code determines </w:t>
      </w:r>
      <w:r w:rsidR="008E5943">
        <w:t>what th</w:t>
      </w:r>
      <w:r w:rsidR="00BD3DB0">
        <w:t xml:space="preserve">e </w:t>
      </w:r>
      <w:r>
        <w:t xml:space="preserve">compositional and labelling requirements apply to. While the definition of </w:t>
      </w:r>
      <w:r w:rsidRPr="273439B9">
        <w:rPr>
          <w:b/>
          <w:bCs/>
          <w:i/>
          <w:iCs/>
        </w:rPr>
        <w:t xml:space="preserve">formulated supplementary sports food </w:t>
      </w:r>
      <w:r>
        <w:t>(</w:t>
      </w:r>
      <w:r w:rsidR="008C1C64">
        <w:t xml:space="preserve">section </w:t>
      </w:r>
      <w:r>
        <w:t>1.1.2</w:t>
      </w:r>
      <w:r w:rsidRPr="273439B9">
        <w:rPr>
          <w:rFonts w:eastAsia="Calibri"/>
        </w:rPr>
        <w:t>—</w:t>
      </w:r>
      <w:r>
        <w:t xml:space="preserve">3 and noted in </w:t>
      </w:r>
      <w:r w:rsidR="008C1C64">
        <w:t xml:space="preserve">section </w:t>
      </w:r>
      <w:r>
        <w:t>2.9.4</w:t>
      </w:r>
      <w:r w:rsidRPr="273439B9">
        <w:rPr>
          <w:rFonts w:eastAsia="Calibri"/>
        </w:rPr>
        <w:t>—</w:t>
      </w:r>
      <w:r>
        <w:t xml:space="preserve">2) and </w:t>
      </w:r>
      <w:r w:rsidRPr="273439B9">
        <w:rPr>
          <w:b/>
          <w:bCs/>
          <w:i/>
          <w:iCs/>
        </w:rPr>
        <w:t>one-day quantity</w:t>
      </w:r>
      <w:r>
        <w:t xml:space="preserve"> (</w:t>
      </w:r>
      <w:r w:rsidR="008C1C64">
        <w:t xml:space="preserve">section </w:t>
      </w:r>
      <w:r>
        <w:t>1.1.2</w:t>
      </w:r>
      <w:r w:rsidRPr="273439B9">
        <w:rPr>
          <w:rFonts w:eastAsia="Calibri"/>
        </w:rPr>
        <w:t>—</w:t>
      </w:r>
      <w:r>
        <w:t xml:space="preserve">2 and noted in </w:t>
      </w:r>
      <w:r w:rsidR="008C1C64">
        <w:t xml:space="preserve">section </w:t>
      </w:r>
      <w:r>
        <w:t>2.9.4</w:t>
      </w:r>
      <w:r w:rsidRPr="273439B9">
        <w:rPr>
          <w:rFonts w:eastAsia="Calibri"/>
        </w:rPr>
        <w:t>—2</w:t>
      </w:r>
      <w:r>
        <w:t xml:space="preserve">) are the only two </w:t>
      </w:r>
      <w:r w:rsidR="005C6840">
        <w:t xml:space="preserve">definitions </w:t>
      </w:r>
      <w:r w:rsidR="4222F249">
        <w:t>under review for P1010</w:t>
      </w:r>
      <w:r>
        <w:t xml:space="preserve">, the </w:t>
      </w:r>
      <w:r w:rsidR="7EFD6C4B">
        <w:t>contents</w:t>
      </w:r>
      <w:r w:rsidR="1DA861DE">
        <w:t xml:space="preserve"> of </w:t>
      </w:r>
      <w:r>
        <w:t xml:space="preserve">Standard 2.9.4 is shaped by several other overarching definitions (see Table 1). </w:t>
      </w:r>
      <w:r w:rsidR="009228A9">
        <w:t xml:space="preserve">Any changes to the in scope definitions will need to be made with consideration to other related </w:t>
      </w:r>
      <w:r>
        <w:t>definitions used throughout the Code</w:t>
      </w:r>
      <w:r w:rsidR="00430894">
        <w:t xml:space="preserve">. </w:t>
      </w:r>
      <w:r w:rsidRPr="273439B9">
        <w:rPr>
          <w:lang w:val="en-AU"/>
        </w:rPr>
        <w:t xml:space="preserve">Note that Standard 2.9.4 also includes several definitions in Division 3 regarding labelling and composition that </w:t>
      </w:r>
      <w:r w:rsidR="00ED58B4" w:rsidRPr="273439B9">
        <w:rPr>
          <w:lang w:val="en-AU"/>
        </w:rPr>
        <w:t xml:space="preserve">are </w:t>
      </w:r>
      <w:r w:rsidRPr="273439B9">
        <w:rPr>
          <w:lang w:val="en-AU"/>
        </w:rPr>
        <w:t xml:space="preserve">not included here but discussed in </w:t>
      </w:r>
      <w:r w:rsidR="004B7295" w:rsidRPr="273439B9">
        <w:rPr>
          <w:lang w:val="en-AU"/>
        </w:rPr>
        <w:t>s</w:t>
      </w:r>
      <w:r w:rsidRPr="273439B9">
        <w:rPr>
          <w:lang w:val="en-AU"/>
        </w:rPr>
        <w:t xml:space="preserve">ection </w:t>
      </w:r>
      <w:r w:rsidR="001A474F">
        <w:rPr>
          <w:lang w:val="en-AU"/>
        </w:rPr>
        <w:t>6</w:t>
      </w:r>
      <w:r w:rsidR="004B7295" w:rsidRPr="273439B9">
        <w:rPr>
          <w:lang w:val="en-AU"/>
        </w:rPr>
        <w:t>.1.6</w:t>
      </w:r>
      <w:r w:rsidRPr="273439B9">
        <w:rPr>
          <w:lang w:val="en-AU"/>
        </w:rPr>
        <w:t xml:space="preserve"> of this consultation paper.</w:t>
      </w:r>
      <w:r>
        <w:t xml:space="preserve"> </w:t>
      </w:r>
    </w:p>
    <w:p w14:paraId="13071111" w14:textId="18FC904E" w:rsidR="002B5EA3" w:rsidRPr="00B62712" w:rsidRDefault="002B5EA3" w:rsidP="002B5EA3">
      <w:pPr>
        <w:pStyle w:val="FSTableText"/>
        <w:spacing w:after="160"/>
        <w:rPr>
          <w:rFonts w:eastAsia="Calibri"/>
        </w:rPr>
      </w:pPr>
      <w:r w:rsidRPr="00DB272D">
        <w:rPr>
          <w:rFonts w:eastAsia="Calibri"/>
          <w:b/>
          <w:bCs/>
        </w:rPr>
        <w:t>Table 1</w:t>
      </w:r>
      <w:r w:rsidR="00DB272D">
        <w:rPr>
          <w:rFonts w:eastAsia="Calibri"/>
          <w:b/>
          <w:bCs/>
        </w:rPr>
        <w:t>:</w:t>
      </w:r>
      <w:r w:rsidRPr="0E77EA93">
        <w:rPr>
          <w:rFonts w:eastAsia="Calibri"/>
        </w:rPr>
        <w:t xml:space="preserve"> </w:t>
      </w:r>
      <w:r>
        <w:rPr>
          <w:rFonts w:eastAsia="Calibri"/>
        </w:rPr>
        <w:t>Current d</w:t>
      </w:r>
      <w:r w:rsidRPr="0E77EA93">
        <w:rPr>
          <w:rFonts w:eastAsia="Calibri"/>
        </w:rPr>
        <w:t xml:space="preserve">efinitions </w:t>
      </w:r>
      <w:r>
        <w:rPr>
          <w:rFonts w:eastAsia="Calibri"/>
        </w:rPr>
        <w:t>relevant</w:t>
      </w:r>
      <w:r w:rsidRPr="0E77EA93">
        <w:rPr>
          <w:rFonts w:eastAsia="Calibri"/>
        </w:rPr>
        <w:t xml:space="preserve"> </w:t>
      </w:r>
      <w:r>
        <w:rPr>
          <w:rFonts w:eastAsia="Calibri"/>
        </w:rPr>
        <w:t>to</w:t>
      </w:r>
      <w:r w:rsidRPr="0E77EA93">
        <w:rPr>
          <w:rFonts w:eastAsia="Calibri"/>
        </w:rPr>
        <w:t xml:space="preserve"> Standard 2.9.4</w:t>
      </w:r>
    </w:p>
    <w:tbl>
      <w:tblPr>
        <w:tblW w:w="0" w:type="auto"/>
        <w:tblLayout w:type="fixed"/>
        <w:tblLook w:val="04A0" w:firstRow="1" w:lastRow="0" w:firstColumn="1" w:lastColumn="0" w:noHBand="0" w:noVBand="1"/>
      </w:tblPr>
      <w:tblGrid>
        <w:gridCol w:w="2685"/>
        <w:gridCol w:w="6345"/>
      </w:tblGrid>
      <w:tr w:rsidR="002B5EA3" w:rsidRPr="00F64B7F" w14:paraId="0DC46D77" w14:textId="77777777" w:rsidTr="273439B9">
        <w:trPr>
          <w:trHeight w:val="450"/>
        </w:trPr>
        <w:tc>
          <w:tcPr>
            <w:tcW w:w="2685" w:type="dxa"/>
            <w:tcBorders>
              <w:top w:val="single" w:sz="6" w:space="0" w:color="1F497D" w:themeColor="text2"/>
              <w:left w:val="single" w:sz="6" w:space="0" w:color="1F497D" w:themeColor="text2"/>
              <w:bottom w:val="single" w:sz="6" w:space="0" w:color="1F497D" w:themeColor="text2"/>
              <w:right w:val="single" w:sz="6" w:space="0" w:color="1F497D" w:themeColor="text2"/>
            </w:tcBorders>
            <w:shd w:val="clear" w:color="auto" w:fill="auto"/>
            <w:vAlign w:val="center"/>
          </w:tcPr>
          <w:p w14:paraId="10FC0010" w14:textId="77777777" w:rsidR="002B5EA3" w:rsidRPr="00F64B7F" w:rsidRDefault="002B5EA3" w:rsidP="00AB5278">
            <w:pPr>
              <w:pStyle w:val="FSTableHeading"/>
              <w:jc w:val="left"/>
              <w:rPr>
                <w:rFonts w:eastAsia="Calibri"/>
                <w:sz w:val="22"/>
                <w:szCs w:val="22"/>
              </w:rPr>
            </w:pPr>
            <w:r w:rsidRPr="00F64B7F">
              <w:rPr>
                <w:rFonts w:eastAsia="Calibri"/>
                <w:sz w:val="22"/>
                <w:szCs w:val="22"/>
              </w:rPr>
              <w:t>Document</w:t>
            </w:r>
          </w:p>
        </w:tc>
        <w:tc>
          <w:tcPr>
            <w:tcW w:w="6345" w:type="dxa"/>
            <w:tcBorders>
              <w:top w:val="single" w:sz="6" w:space="0" w:color="1F497D" w:themeColor="text2"/>
              <w:left w:val="single" w:sz="6" w:space="0" w:color="1F497D" w:themeColor="text2"/>
              <w:bottom w:val="single" w:sz="6" w:space="0" w:color="1F497D" w:themeColor="text2"/>
              <w:right w:val="single" w:sz="6" w:space="0" w:color="1F497D" w:themeColor="text2"/>
            </w:tcBorders>
            <w:shd w:val="clear" w:color="auto" w:fill="auto"/>
            <w:vAlign w:val="center"/>
          </w:tcPr>
          <w:p w14:paraId="2E9B1013" w14:textId="77B02553" w:rsidR="002B5EA3" w:rsidRPr="00F64B7F" w:rsidRDefault="002B5EA3" w:rsidP="00AB5278">
            <w:pPr>
              <w:pStyle w:val="FSTableHeading"/>
              <w:jc w:val="left"/>
              <w:rPr>
                <w:rFonts w:eastAsia="Calibri"/>
                <w:sz w:val="22"/>
                <w:szCs w:val="22"/>
              </w:rPr>
            </w:pPr>
            <w:r w:rsidRPr="00F64B7F">
              <w:rPr>
                <w:rFonts w:eastAsia="Calibri"/>
                <w:sz w:val="22"/>
                <w:szCs w:val="22"/>
              </w:rPr>
              <w:t xml:space="preserve">Definitions related to formulated supplementary sports foods </w:t>
            </w:r>
          </w:p>
        </w:tc>
      </w:tr>
      <w:tr w:rsidR="002B5EA3" w:rsidRPr="00F64B7F" w14:paraId="1AAE9106" w14:textId="77777777" w:rsidTr="273439B9">
        <w:trPr>
          <w:trHeight w:val="390"/>
        </w:trPr>
        <w:tc>
          <w:tcPr>
            <w:tcW w:w="2685" w:type="dxa"/>
            <w:tcBorders>
              <w:top w:val="single" w:sz="6" w:space="0" w:color="1F497D" w:themeColor="text2"/>
              <w:left w:val="single" w:sz="6" w:space="0" w:color="1F497D" w:themeColor="text2"/>
              <w:bottom w:val="single" w:sz="6" w:space="0" w:color="1F497D" w:themeColor="text2"/>
              <w:right w:val="single" w:sz="6" w:space="0" w:color="1F497D" w:themeColor="text2"/>
            </w:tcBorders>
          </w:tcPr>
          <w:p w14:paraId="43A8296D" w14:textId="3D7FA1CF" w:rsidR="002B5EA3" w:rsidRPr="00F64B7F" w:rsidRDefault="002B5EA3" w:rsidP="00AB5278">
            <w:pPr>
              <w:pStyle w:val="FSTableText"/>
              <w:rPr>
                <w:rFonts w:eastAsia="Calibri"/>
                <w:sz w:val="22"/>
                <w:szCs w:val="22"/>
              </w:rPr>
            </w:pPr>
            <w:r w:rsidRPr="00F64B7F">
              <w:rPr>
                <w:rFonts w:eastAsia="Calibri"/>
                <w:sz w:val="22"/>
                <w:szCs w:val="22"/>
              </w:rPr>
              <w:t>S</w:t>
            </w:r>
            <w:r>
              <w:rPr>
                <w:rFonts w:eastAsia="Calibri"/>
                <w:sz w:val="22"/>
                <w:szCs w:val="22"/>
              </w:rPr>
              <w:t>ection</w:t>
            </w:r>
            <w:r w:rsidRPr="00F64B7F">
              <w:rPr>
                <w:rFonts w:eastAsia="Calibri"/>
                <w:sz w:val="22"/>
                <w:szCs w:val="22"/>
              </w:rPr>
              <w:t xml:space="preserve"> 1.1.2</w:t>
            </w:r>
            <w:r>
              <w:rPr>
                <w:rFonts w:eastAsia="Calibri"/>
                <w:sz w:val="22"/>
                <w:szCs w:val="22"/>
              </w:rPr>
              <w:t>— </w:t>
            </w:r>
            <w:r w:rsidRPr="00F64B7F">
              <w:rPr>
                <w:rFonts w:eastAsia="Calibri"/>
                <w:sz w:val="22"/>
                <w:szCs w:val="22"/>
              </w:rPr>
              <w:t xml:space="preserve">3 Definition used throughout the Code and noted in </w:t>
            </w:r>
            <w:r w:rsidR="00D3231F">
              <w:rPr>
                <w:rFonts w:eastAsia="Calibri"/>
                <w:sz w:val="22"/>
                <w:szCs w:val="22"/>
              </w:rPr>
              <w:t>section</w:t>
            </w:r>
          </w:p>
          <w:p w14:paraId="254A011B" w14:textId="646F628E" w:rsidR="002B5EA3" w:rsidRPr="00F64B7F" w:rsidRDefault="002B5EA3" w:rsidP="00AB5278">
            <w:pPr>
              <w:pStyle w:val="FSTableText"/>
              <w:rPr>
                <w:rFonts w:eastAsia="Calibri"/>
                <w:sz w:val="22"/>
                <w:szCs w:val="22"/>
              </w:rPr>
            </w:pPr>
            <w:r w:rsidRPr="00F64B7F">
              <w:rPr>
                <w:rFonts w:eastAsia="Calibri"/>
                <w:sz w:val="22"/>
                <w:szCs w:val="22"/>
              </w:rPr>
              <w:t>2.9.4</w:t>
            </w:r>
            <w:r>
              <w:rPr>
                <w:rFonts w:eastAsia="Calibri"/>
                <w:sz w:val="22"/>
                <w:szCs w:val="22"/>
              </w:rPr>
              <w:t>—</w:t>
            </w:r>
            <w:r w:rsidRPr="00F64B7F">
              <w:rPr>
                <w:rFonts w:eastAsia="Calibri"/>
                <w:sz w:val="22"/>
                <w:szCs w:val="22"/>
              </w:rPr>
              <w:t xml:space="preserve">2 </w:t>
            </w:r>
          </w:p>
        </w:tc>
        <w:tc>
          <w:tcPr>
            <w:tcW w:w="6345" w:type="dxa"/>
            <w:tcBorders>
              <w:top w:val="single" w:sz="6" w:space="0" w:color="1F497D" w:themeColor="text2"/>
              <w:left w:val="single" w:sz="6" w:space="0" w:color="1F497D" w:themeColor="text2"/>
              <w:bottom w:val="single" w:sz="6" w:space="0" w:color="1F497D" w:themeColor="text2"/>
              <w:right w:val="single" w:sz="6" w:space="0" w:color="1F497D" w:themeColor="text2"/>
            </w:tcBorders>
          </w:tcPr>
          <w:p w14:paraId="23193FBA" w14:textId="77777777" w:rsidR="002B5EA3" w:rsidRPr="00F64B7F" w:rsidRDefault="002B5EA3" w:rsidP="00AB5278">
            <w:pPr>
              <w:pStyle w:val="FSTableText"/>
              <w:rPr>
                <w:rFonts w:eastAsia="Calibri"/>
                <w:sz w:val="22"/>
                <w:szCs w:val="22"/>
              </w:rPr>
            </w:pPr>
            <w:r w:rsidRPr="00F64B7F">
              <w:rPr>
                <w:rFonts w:eastAsia="Calibri"/>
                <w:b/>
                <w:i/>
                <w:sz w:val="22"/>
                <w:szCs w:val="22"/>
              </w:rPr>
              <w:t>formulated supplementary sports</w:t>
            </w:r>
            <w:r w:rsidRPr="00F64B7F">
              <w:rPr>
                <w:rFonts w:eastAsia="Calibri"/>
                <w:sz w:val="22"/>
                <w:szCs w:val="22"/>
              </w:rPr>
              <w:t xml:space="preserve"> </w:t>
            </w:r>
            <w:r w:rsidRPr="00F64B7F">
              <w:rPr>
                <w:rFonts w:eastAsia="Calibri"/>
                <w:b/>
                <w:i/>
                <w:sz w:val="22"/>
                <w:szCs w:val="22"/>
              </w:rPr>
              <w:t xml:space="preserve">food </w:t>
            </w:r>
            <w:r w:rsidRPr="00F64B7F">
              <w:rPr>
                <w:rFonts w:eastAsia="Calibri"/>
                <w:sz w:val="22"/>
                <w:szCs w:val="22"/>
              </w:rPr>
              <w:t>means a product that is specifically formulated to assist sports people in achieving specific nutritional or performance goals.</w:t>
            </w:r>
          </w:p>
        </w:tc>
      </w:tr>
      <w:tr w:rsidR="002B5EA3" w:rsidRPr="00F64B7F" w14:paraId="2703B2D5" w14:textId="77777777" w:rsidTr="273439B9">
        <w:trPr>
          <w:trHeight w:val="390"/>
        </w:trPr>
        <w:tc>
          <w:tcPr>
            <w:tcW w:w="2685" w:type="dxa"/>
            <w:tcBorders>
              <w:top w:val="single" w:sz="6" w:space="0" w:color="1F497D" w:themeColor="text2"/>
              <w:left w:val="single" w:sz="6" w:space="0" w:color="1F497D" w:themeColor="text2"/>
              <w:bottom w:val="single" w:sz="6" w:space="0" w:color="1F497D" w:themeColor="text2"/>
              <w:right w:val="single" w:sz="6" w:space="0" w:color="1F497D" w:themeColor="text2"/>
            </w:tcBorders>
          </w:tcPr>
          <w:p w14:paraId="35FE4D7A" w14:textId="2024D20E" w:rsidR="002B5EA3" w:rsidRPr="00F64B7F" w:rsidRDefault="002B5EA3" w:rsidP="00AB5278">
            <w:r w:rsidRPr="00F64B7F">
              <w:rPr>
                <w:rFonts w:eastAsia="Calibri"/>
              </w:rPr>
              <w:t>S</w:t>
            </w:r>
            <w:r>
              <w:rPr>
                <w:rFonts w:eastAsia="Calibri"/>
              </w:rPr>
              <w:t>ection</w:t>
            </w:r>
            <w:r w:rsidRPr="00F64B7F">
              <w:rPr>
                <w:rFonts w:eastAsia="Calibri"/>
              </w:rPr>
              <w:t xml:space="preserve"> 1.1.2</w:t>
            </w:r>
            <w:r>
              <w:rPr>
                <w:rFonts w:eastAsia="Calibri"/>
              </w:rPr>
              <w:t>— 2</w:t>
            </w:r>
            <w:r w:rsidRPr="00F64B7F">
              <w:rPr>
                <w:rFonts w:eastAsia="Calibri"/>
              </w:rPr>
              <w:t xml:space="preserve"> Definition used throughout the Code</w:t>
            </w:r>
          </w:p>
        </w:tc>
        <w:tc>
          <w:tcPr>
            <w:tcW w:w="6345" w:type="dxa"/>
            <w:tcBorders>
              <w:top w:val="single" w:sz="6" w:space="0" w:color="1F497D" w:themeColor="text2"/>
              <w:left w:val="single" w:sz="6" w:space="0" w:color="1F497D" w:themeColor="text2"/>
              <w:bottom w:val="single" w:sz="6" w:space="0" w:color="1F497D" w:themeColor="text2"/>
              <w:right w:val="single" w:sz="6" w:space="0" w:color="1F497D" w:themeColor="text2"/>
            </w:tcBorders>
          </w:tcPr>
          <w:p w14:paraId="77EF00EE" w14:textId="77777777" w:rsidR="002B5EA3" w:rsidRPr="00F64B7F" w:rsidRDefault="002B5EA3" w:rsidP="00AB5278">
            <w:pPr>
              <w:pStyle w:val="FSTableText"/>
              <w:rPr>
                <w:rFonts w:eastAsia="Calibri"/>
                <w:sz w:val="22"/>
                <w:szCs w:val="22"/>
              </w:rPr>
            </w:pPr>
            <w:r w:rsidRPr="53068CF4">
              <w:rPr>
                <w:rFonts w:eastAsia="Calibri"/>
                <w:b/>
                <w:bCs/>
                <w:i/>
                <w:iCs/>
                <w:sz w:val="22"/>
                <w:szCs w:val="22"/>
              </w:rPr>
              <w:t>Average energy content</w:t>
            </w:r>
            <w:r w:rsidRPr="53068CF4">
              <w:rPr>
                <w:rFonts w:eastAsia="Calibri"/>
                <w:sz w:val="22"/>
                <w:szCs w:val="22"/>
              </w:rPr>
              <w:t xml:space="preserve"> means the average energy content calculated in accordance with section S11—2.</w:t>
            </w:r>
          </w:p>
        </w:tc>
      </w:tr>
      <w:tr w:rsidR="002B5EA3" w:rsidRPr="00F64B7F" w14:paraId="60B8BCB5" w14:textId="77777777" w:rsidTr="273439B9">
        <w:trPr>
          <w:trHeight w:val="390"/>
        </w:trPr>
        <w:tc>
          <w:tcPr>
            <w:tcW w:w="2685" w:type="dxa"/>
            <w:tcBorders>
              <w:top w:val="single" w:sz="6" w:space="0" w:color="1F497D" w:themeColor="text2"/>
              <w:left w:val="single" w:sz="6" w:space="0" w:color="1F497D" w:themeColor="text2"/>
              <w:bottom w:val="single" w:sz="6" w:space="0" w:color="1F497D" w:themeColor="text2"/>
              <w:right w:val="single" w:sz="6" w:space="0" w:color="1F497D" w:themeColor="text2"/>
            </w:tcBorders>
          </w:tcPr>
          <w:p w14:paraId="53F05F55" w14:textId="3F6F1970" w:rsidR="002B5EA3" w:rsidRPr="00F64B7F" w:rsidRDefault="002B5EA3" w:rsidP="00AB5278">
            <w:pPr>
              <w:pStyle w:val="FSTableText"/>
              <w:rPr>
                <w:rFonts w:eastAsia="Calibri"/>
                <w:sz w:val="22"/>
                <w:szCs w:val="22"/>
              </w:rPr>
            </w:pPr>
            <w:r>
              <w:rPr>
                <w:rFonts w:eastAsia="Calibri"/>
                <w:sz w:val="22"/>
                <w:szCs w:val="22"/>
              </w:rPr>
              <w:t>Section</w:t>
            </w:r>
            <w:r w:rsidRPr="00F64B7F">
              <w:rPr>
                <w:rFonts w:eastAsia="Calibri"/>
                <w:sz w:val="22"/>
                <w:szCs w:val="22"/>
              </w:rPr>
              <w:t xml:space="preserve"> 1.1.2</w:t>
            </w:r>
            <w:r>
              <w:rPr>
                <w:rFonts w:eastAsia="Calibri"/>
                <w:sz w:val="22"/>
                <w:szCs w:val="22"/>
              </w:rPr>
              <w:t>—</w:t>
            </w:r>
            <w:r w:rsidRPr="00F64B7F">
              <w:rPr>
                <w:rFonts w:eastAsia="Calibri"/>
                <w:sz w:val="22"/>
                <w:szCs w:val="22"/>
              </w:rPr>
              <w:t xml:space="preserve">2 Definition used throughout the Code and </w:t>
            </w:r>
            <w:r w:rsidRPr="00F64B7F">
              <w:rPr>
                <w:rFonts w:eastAsia="Calibri"/>
                <w:sz w:val="22"/>
                <w:szCs w:val="22"/>
              </w:rPr>
              <w:lastRenderedPageBreak/>
              <w:t xml:space="preserve">noted in </w:t>
            </w:r>
            <w:r w:rsidR="001F329C" w:rsidRPr="002E567B">
              <w:rPr>
                <w:rFonts w:eastAsia="Calibri"/>
                <w:sz w:val="22"/>
                <w:szCs w:val="22"/>
              </w:rPr>
              <w:t xml:space="preserve">section </w:t>
            </w:r>
            <w:r w:rsidRPr="002E567B">
              <w:rPr>
                <w:rFonts w:eastAsia="Calibri"/>
                <w:sz w:val="22"/>
                <w:szCs w:val="22"/>
              </w:rPr>
              <w:t>2.9.4—2</w:t>
            </w:r>
            <w:r w:rsidRPr="00F64B7F">
              <w:rPr>
                <w:rFonts w:eastAsia="Calibri"/>
                <w:b/>
                <w:sz w:val="22"/>
                <w:szCs w:val="22"/>
              </w:rPr>
              <w:t xml:space="preserve"> </w:t>
            </w:r>
          </w:p>
        </w:tc>
        <w:tc>
          <w:tcPr>
            <w:tcW w:w="6345" w:type="dxa"/>
            <w:tcBorders>
              <w:top w:val="single" w:sz="6" w:space="0" w:color="1F497D" w:themeColor="text2"/>
              <w:left w:val="single" w:sz="6" w:space="0" w:color="1F497D" w:themeColor="text2"/>
              <w:bottom w:val="single" w:sz="6" w:space="0" w:color="1F497D" w:themeColor="text2"/>
              <w:right w:val="single" w:sz="6" w:space="0" w:color="1F497D" w:themeColor="text2"/>
            </w:tcBorders>
          </w:tcPr>
          <w:p w14:paraId="4786246F" w14:textId="7230407D" w:rsidR="002B5EA3" w:rsidRPr="00F64B7F" w:rsidRDefault="002B5EA3" w:rsidP="00AB5278">
            <w:pPr>
              <w:pStyle w:val="FSTableText"/>
              <w:rPr>
                <w:rFonts w:eastAsia="Calibri"/>
                <w:sz w:val="22"/>
                <w:szCs w:val="22"/>
              </w:rPr>
            </w:pPr>
            <w:r w:rsidRPr="273439B9">
              <w:rPr>
                <w:rFonts w:eastAsia="Calibri"/>
                <w:b/>
                <w:bCs/>
                <w:i/>
                <w:iCs/>
                <w:sz w:val="22"/>
                <w:szCs w:val="22"/>
              </w:rPr>
              <w:lastRenderedPageBreak/>
              <w:t>one-day quantity</w:t>
            </w:r>
            <w:r w:rsidRPr="273439B9">
              <w:rPr>
                <w:rFonts w:eastAsia="Calibri"/>
                <w:sz w:val="22"/>
                <w:szCs w:val="22"/>
              </w:rPr>
              <w:t xml:space="preserve"> in relation to a formulated supplementary sports food</w:t>
            </w:r>
            <w:r w:rsidR="6CB858A9" w:rsidRPr="273439B9">
              <w:rPr>
                <w:rFonts w:eastAsia="Calibri"/>
                <w:sz w:val="22"/>
                <w:szCs w:val="22"/>
              </w:rPr>
              <w:t>,</w:t>
            </w:r>
            <w:r w:rsidRPr="273439B9">
              <w:rPr>
                <w:rFonts w:eastAsia="Calibri"/>
                <w:sz w:val="22"/>
                <w:szCs w:val="22"/>
              </w:rPr>
              <w:t xml:space="preserve"> means the amount of that food which is to be consumed in one day in accordance with directions specified </w:t>
            </w:r>
            <w:r w:rsidRPr="273439B9">
              <w:rPr>
                <w:rFonts w:eastAsia="Calibri"/>
                <w:sz w:val="22"/>
                <w:szCs w:val="22"/>
              </w:rPr>
              <w:lastRenderedPageBreak/>
              <w:t>in the label.</w:t>
            </w:r>
          </w:p>
          <w:p w14:paraId="00308707" w14:textId="77777777" w:rsidR="002B5EA3" w:rsidRPr="00F64B7F" w:rsidRDefault="002B5EA3" w:rsidP="00AB5278"/>
        </w:tc>
      </w:tr>
      <w:tr w:rsidR="002B5EA3" w:rsidRPr="00F64B7F" w14:paraId="5E7F462C" w14:textId="77777777" w:rsidTr="273439B9">
        <w:trPr>
          <w:trHeight w:val="390"/>
        </w:trPr>
        <w:tc>
          <w:tcPr>
            <w:tcW w:w="2685" w:type="dxa"/>
            <w:tcBorders>
              <w:top w:val="single" w:sz="6" w:space="0" w:color="1F497D" w:themeColor="text2"/>
              <w:left w:val="single" w:sz="6" w:space="0" w:color="1F497D" w:themeColor="text2"/>
              <w:bottom w:val="single" w:sz="6" w:space="0" w:color="1F497D" w:themeColor="text2"/>
              <w:right w:val="single" w:sz="6" w:space="0" w:color="1F497D" w:themeColor="text2"/>
            </w:tcBorders>
          </w:tcPr>
          <w:p w14:paraId="2A2C4931" w14:textId="77777777" w:rsidR="002B5EA3" w:rsidRPr="00F64B7F" w:rsidRDefault="002B5EA3" w:rsidP="00AB5278">
            <w:pPr>
              <w:pStyle w:val="FSTableText"/>
              <w:rPr>
                <w:rFonts w:eastAsia="Calibri"/>
                <w:sz w:val="22"/>
                <w:szCs w:val="22"/>
              </w:rPr>
            </w:pPr>
            <w:r>
              <w:rPr>
                <w:rFonts w:eastAsia="Calibri"/>
                <w:sz w:val="22"/>
                <w:szCs w:val="22"/>
              </w:rPr>
              <w:lastRenderedPageBreak/>
              <w:t xml:space="preserve">Section </w:t>
            </w:r>
            <w:r w:rsidRPr="00F64B7F">
              <w:rPr>
                <w:rFonts w:eastAsia="Calibri"/>
                <w:sz w:val="22"/>
                <w:szCs w:val="22"/>
              </w:rPr>
              <w:t>1.1.2</w:t>
            </w:r>
            <w:r>
              <w:rPr>
                <w:rFonts w:eastAsia="Calibri"/>
                <w:sz w:val="22"/>
                <w:szCs w:val="22"/>
              </w:rPr>
              <w:t>—</w:t>
            </w:r>
            <w:r w:rsidRPr="00F64B7F">
              <w:rPr>
                <w:rFonts w:eastAsia="Calibri"/>
                <w:sz w:val="22"/>
                <w:szCs w:val="22"/>
              </w:rPr>
              <w:t xml:space="preserve">12 Definition </w:t>
            </w:r>
            <w:r w:rsidRPr="00264DDA">
              <w:rPr>
                <w:rFonts w:eastAsia="Calibri"/>
                <w:sz w:val="22"/>
                <w:szCs w:val="22"/>
              </w:rPr>
              <w:t>used throughout the Code</w:t>
            </w:r>
          </w:p>
        </w:tc>
        <w:tc>
          <w:tcPr>
            <w:tcW w:w="6345" w:type="dxa"/>
            <w:tcBorders>
              <w:top w:val="single" w:sz="6" w:space="0" w:color="1F497D" w:themeColor="text2"/>
              <w:left w:val="single" w:sz="6" w:space="0" w:color="1F497D" w:themeColor="text2"/>
              <w:bottom w:val="single" w:sz="6" w:space="0" w:color="1F497D" w:themeColor="text2"/>
              <w:right w:val="single" w:sz="6" w:space="0" w:color="1F497D" w:themeColor="text2"/>
            </w:tcBorders>
          </w:tcPr>
          <w:p w14:paraId="0000B213" w14:textId="77777777" w:rsidR="002B5EA3" w:rsidRPr="00F64B7F" w:rsidRDefault="002B5EA3" w:rsidP="00AB5278">
            <w:pPr>
              <w:pStyle w:val="FSTableText"/>
              <w:rPr>
                <w:rFonts w:eastAsia="Calibri"/>
                <w:sz w:val="22"/>
                <w:szCs w:val="22"/>
              </w:rPr>
            </w:pPr>
            <w:r w:rsidRPr="00F64B7F">
              <w:rPr>
                <w:rFonts w:eastAsia="Calibri"/>
                <w:sz w:val="22"/>
                <w:szCs w:val="22"/>
              </w:rPr>
              <w:t xml:space="preserve">Definition of </w:t>
            </w:r>
            <w:r w:rsidRPr="0083355A">
              <w:rPr>
                <w:rFonts w:eastAsia="Calibri"/>
                <w:b/>
                <w:bCs/>
                <w:i/>
                <w:iCs/>
                <w:sz w:val="22"/>
                <w:szCs w:val="22"/>
              </w:rPr>
              <w:t>used as a nutritive substance</w:t>
            </w:r>
          </w:p>
          <w:p w14:paraId="35BC2B24" w14:textId="77777777" w:rsidR="002B5EA3" w:rsidRPr="00F64B7F" w:rsidRDefault="002B5EA3" w:rsidP="00AB5278">
            <w:pPr>
              <w:pStyle w:val="FSTableText"/>
              <w:rPr>
                <w:rFonts w:eastAsia="Calibri"/>
                <w:sz w:val="22"/>
                <w:szCs w:val="22"/>
              </w:rPr>
            </w:pPr>
            <w:r w:rsidRPr="00F64B7F">
              <w:rPr>
                <w:rFonts w:eastAsia="Calibri"/>
                <w:sz w:val="22"/>
                <w:szCs w:val="22"/>
              </w:rPr>
              <w:t>(1) In this Code, a substance is used as a nutritive substance in relation to a food if it is added to the food:</w:t>
            </w:r>
          </w:p>
          <w:p w14:paraId="0ECFCC50" w14:textId="77777777" w:rsidR="002B5EA3" w:rsidRPr="00F64B7F" w:rsidRDefault="002B5EA3" w:rsidP="00AB5278">
            <w:pPr>
              <w:pStyle w:val="FSTableText"/>
              <w:rPr>
                <w:rFonts w:eastAsia="Calibri"/>
                <w:sz w:val="22"/>
                <w:szCs w:val="22"/>
              </w:rPr>
            </w:pPr>
            <w:r w:rsidRPr="00F64B7F">
              <w:rPr>
                <w:rFonts w:eastAsia="Calibri"/>
                <w:sz w:val="22"/>
                <w:szCs w:val="22"/>
              </w:rPr>
              <w:t>(a) to achieve a nutritional purpose; and</w:t>
            </w:r>
          </w:p>
          <w:p w14:paraId="54DDDE38" w14:textId="77777777" w:rsidR="002B5EA3" w:rsidRPr="00F64B7F" w:rsidRDefault="002B5EA3" w:rsidP="00AB5278">
            <w:pPr>
              <w:pStyle w:val="FSTableText"/>
              <w:rPr>
                <w:rFonts w:eastAsia="Calibri"/>
                <w:sz w:val="22"/>
                <w:szCs w:val="22"/>
              </w:rPr>
            </w:pPr>
            <w:r w:rsidRPr="00F64B7F">
              <w:rPr>
                <w:rFonts w:eastAsia="Calibri"/>
                <w:sz w:val="22"/>
                <w:szCs w:val="22"/>
              </w:rPr>
              <w:t>(b) it is a substance identified in subsection (2).</w:t>
            </w:r>
          </w:p>
          <w:p w14:paraId="5EA2FD48" w14:textId="77777777" w:rsidR="002B5EA3" w:rsidRPr="00F64B7F" w:rsidRDefault="002B5EA3" w:rsidP="00AB5278">
            <w:pPr>
              <w:pStyle w:val="FSTableText"/>
              <w:rPr>
                <w:rFonts w:eastAsia="Calibri"/>
                <w:sz w:val="22"/>
                <w:szCs w:val="22"/>
              </w:rPr>
            </w:pPr>
            <w:r w:rsidRPr="00F64B7F">
              <w:rPr>
                <w:rFonts w:eastAsia="Calibri"/>
                <w:sz w:val="22"/>
                <w:szCs w:val="22"/>
              </w:rPr>
              <w:t>(2) For subsection (1), the substances are:</w:t>
            </w:r>
          </w:p>
          <w:p w14:paraId="2DDBA56C" w14:textId="77777777" w:rsidR="002B5EA3" w:rsidRPr="00F64B7F" w:rsidRDefault="002B5EA3" w:rsidP="00AB5278">
            <w:pPr>
              <w:pStyle w:val="FSTableText"/>
              <w:rPr>
                <w:rFonts w:eastAsia="Calibri"/>
                <w:sz w:val="22"/>
                <w:szCs w:val="22"/>
              </w:rPr>
            </w:pPr>
            <w:r w:rsidRPr="00F64B7F">
              <w:rPr>
                <w:rFonts w:eastAsia="Calibri"/>
                <w:sz w:val="22"/>
                <w:szCs w:val="22"/>
              </w:rPr>
              <w:t>(a) any substance that is identified in this Code as one that may be *used as a nutritive substance; and</w:t>
            </w:r>
          </w:p>
          <w:p w14:paraId="5E65FA26" w14:textId="38843516" w:rsidR="002B5EA3" w:rsidRPr="00F64B7F" w:rsidRDefault="002B5EA3" w:rsidP="00AB5278">
            <w:pPr>
              <w:pStyle w:val="FSTableText"/>
              <w:rPr>
                <w:rFonts w:eastAsia="Calibri"/>
                <w:sz w:val="22"/>
                <w:szCs w:val="22"/>
              </w:rPr>
            </w:pPr>
            <w:r w:rsidRPr="00F64B7F">
              <w:rPr>
                <w:rFonts w:eastAsia="Calibri"/>
                <w:sz w:val="22"/>
                <w:szCs w:val="22"/>
              </w:rPr>
              <w:t>(b) a vitamin or a mineral</w:t>
            </w:r>
            <w:r w:rsidR="00430894">
              <w:rPr>
                <w:rFonts w:eastAsia="Calibri"/>
                <w:sz w:val="22"/>
                <w:szCs w:val="22"/>
              </w:rPr>
              <w:t xml:space="preserve"> a</w:t>
            </w:r>
            <w:r w:rsidRPr="00F64B7F">
              <w:rPr>
                <w:rFonts w:eastAsia="Calibri"/>
                <w:sz w:val="22"/>
                <w:szCs w:val="22"/>
              </w:rPr>
              <w:t>nd</w:t>
            </w:r>
          </w:p>
          <w:p w14:paraId="093A5C73" w14:textId="77777777" w:rsidR="002B5EA3" w:rsidRPr="00642664" w:rsidRDefault="002B5EA3" w:rsidP="00AB5278">
            <w:pPr>
              <w:pStyle w:val="FSTableText"/>
              <w:rPr>
                <w:rFonts w:eastAsia="Calibri"/>
                <w:sz w:val="22"/>
                <w:szCs w:val="22"/>
              </w:rPr>
            </w:pPr>
            <w:r>
              <w:rPr>
                <w:rFonts w:eastAsia="Calibri"/>
                <w:sz w:val="22"/>
                <w:szCs w:val="22"/>
              </w:rPr>
              <w:t>(c)</w:t>
            </w:r>
            <w:r w:rsidRPr="00F64B7F">
              <w:rPr>
                <w:rFonts w:eastAsia="Calibri"/>
                <w:sz w:val="22"/>
                <w:szCs w:val="22"/>
              </w:rPr>
              <w:t xml:space="preserve"> any substance (other than an </w:t>
            </w:r>
            <w:proofErr w:type="spellStart"/>
            <w:r w:rsidRPr="00F64B7F">
              <w:rPr>
                <w:rFonts w:eastAsia="Calibri"/>
                <w:sz w:val="22"/>
                <w:szCs w:val="22"/>
              </w:rPr>
              <w:t>inulin</w:t>
            </w:r>
            <w:proofErr w:type="spellEnd"/>
            <w:r w:rsidRPr="00F64B7F">
              <w:rPr>
                <w:rFonts w:eastAsia="Calibri"/>
                <w:sz w:val="22"/>
                <w:szCs w:val="22"/>
              </w:rPr>
              <w:t xml:space="preserve">-type </w:t>
            </w:r>
            <w:proofErr w:type="spellStart"/>
            <w:r w:rsidRPr="00F64B7F">
              <w:rPr>
                <w:rFonts w:eastAsia="Calibri"/>
                <w:sz w:val="22"/>
                <w:szCs w:val="22"/>
              </w:rPr>
              <w:t>fructan</w:t>
            </w:r>
            <w:proofErr w:type="spellEnd"/>
            <w:r w:rsidRPr="00F64B7F">
              <w:rPr>
                <w:rFonts w:eastAsia="Calibri"/>
                <w:sz w:val="22"/>
                <w:szCs w:val="22"/>
              </w:rPr>
              <w:t xml:space="preserve">, a </w:t>
            </w:r>
            <w:proofErr w:type="spellStart"/>
            <w:r w:rsidRPr="00F64B7F">
              <w:rPr>
                <w:rFonts w:eastAsia="Calibri"/>
                <w:sz w:val="22"/>
                <w:szCs w:val="22"/>
              </w:rPr>
              <w:t>galacto</w:t>
            </w:r>
            <w:proofErr w:type="spellEnd"/>
            <w:r w:rsidRPr="00F64B7F">
              <w:rPr>
                <w:rFonts w:eastAsia="Calibri"/>
                <w:sz w:val="22"/>
                <w:szCs w:val="22"/>
              </w:rPr>
              <w:t xml:space="preserve">-oligosaccharide or a substance normally consumed as a food) that has been </w:t>
            </w:r>
            <w:r w:rsidRPr="0083355A">
              <w:rPr>
                <w:rFonts w:eastAsia="Calibri"/>
                <w:bCs/>
                <w:sz w:val="22"/>
                <w:szCs w:val="22"/>
              </w:rPr>
              <w:t>concentrated, refined or synthesised, to achieve a nutritional purpose</w:t>
            </w:r>
            <w:r w:rsidRPr="00F64B7F">
              <w:rPr>
                <w:rFonts w:eastAsia="Calibri"/>
                <w:sz w:val="22"/>
                <w:szCs w:val="22"/>
              </w:rPr>
              <w:t xml:space="preserve"> when added to a food.</w:t>
            </w:r>
          </w:p>
          <w:p w14:paraId="1EF956AF" w14:textId="77777777" w:rsidR="002B5EA3" w:rsidRPr="00F64B7F" w:rsidRDefault="002B5EA3" w:rsidP="00AB5278">
            <w:pPr>
              <w:pStyle w:val="FSTableText"/>
              <w:rPr>
                <w:rFonts w:eastAsia="Calibri"/>
                <w:sz w:val="22"/>
                <w:szCs w:val="22"/>
              </w:rPr>
            </w:pPr>
            <w:r w:rsidRPr="00F64B7F">
              <w:rPr>
                <w:rFonts w:eastAsia="Calibri"/>
                <w:sz w:val="22"/>
                <w:szCs w:val="22"/>
              </w:rPr>
              <w:t xml:space="preserve">Note: Provisions that control use of substances as nutritive substance are in </w:t>
            </w:r>
            <w:r>
              <w:rPr>
                <w:rFonts w:eastAsia="Calibri"/>
                <w:sz w:val="22"/>
                <w:szCs w:val="22"/>
              </w:rPr>
              <w:t xml:space="preserve">Standard 1.1.1, </w:t>
            </w:r>
            <w:r w:rsidRPr="00F64B7F">
              <w:rPr>
                <w:rFonts w:eastAsia="Calibri"/>
                <w:sz w:val="22"/>
                <w:szCs w:val="22"/>
              </w:rPr>
              <w:t xml:space="preserve">Standard 1.3.2 (Vitamins and minerals), Standard 2.9.1 (Infant formula products), Standard 2.9.2 (Food for infants), Standard 2.9.3 (Formulated meal replacements), </w:t>
            </w:r>
            <w:r w:rsidRPr="0083355A">
              <w:rPr>
                <w:rFonts w:eastAsia="Calibri"/>
                <w:bCs/>
                <w:sz w:val="22"/>
                <w:szCs w:val="22"/>
              </w:rPr>
              <w:t>Standard 2.9.4 (Formulated supplementary sports foods)</w:t>
            </w:r>
            <w:r w:rsidRPr="00F64B7F">
              <w:rPr>
                <w:rFonts w:eastAsia="Calibri"/>
                <w:b/>
                <w:sz w:val="22"/>
                <w:szCs w:val="22"/>
              </w:rPr>
              <w:t xml:space="preserve"> </w:t>
            </w:r>
            <w:r w:rsidRPr="00F64B7F">
              <w:rPr>
                <w:rFonts w:eastAsia="Calibri"/>
                <w:sz w:val="22"/>
                <w:szCs w:val="22"/>
              </w:rPr>
              <w:t>and Standard 2.9.5 (Food for special medical purposes). Substances referred to in paragraph (2)(a) include, for example, those that are identified in the tables to sections S17—2 and S17—3 (vitamins and minerals) and the tables to sections S28—2, S29—18 and S29—19 (other substances).</w:t>
            </w:r>
          </w:p>
        </w:tc>
      </w:tr>
    </w:tbl>
    <w:p w14:paraId="4C568B4E" w14:textId="3C9DC787" w:rsidR="002C7201" w:rsidRPr="005949EC" w:rsidRDefault="002B5EA3" w:rsidP="00251931">
      <w:pPr>
        <w:pStyle w:val="Heading3"/>
      </w:pPr>
      <w:bookmarkStart w:id="46" w:name="_Toc122602218"/>
      <w:r>
        <w:t>Defined population and purpose</w:t>
      </w:r>
      <w:bookmarkEnd w:id="46"/>
    </w:p>
    <w:p w14:paraId="7198B1BF" w14:textId="4AEB7FCB" w:rsidR="002B5EA3" w:rsidRDefault="5ADC6E64" w:rsidP="002B5EA3">
      <w:pPr>
        <w:spacing w:after="160"/>
        <w:rPr>
          <w:lang w:val="en-AU"/>
        </w:rPr>
      </w:pPr>
      <w:r w:rsidRPr="5E7CA050">
        <w:rPr>
          <w:lang w:val="en-AU"/>
        </w:rPr>
        <w:t xml:space="preserve">As mentioned above, a special purpose food typically has a defined population. The definition </w:t>
      </w:r>
      <w:r w:rsidR="7CB86FCD" w:rsidRPr="5E7CA050">
        <w:rPr>
          <w:lang w:val="en-AU"/>
        </w:rPr>
        <w:t xml:space="preserve">of an FSSF </w:t>
      </w:r>
      <w:r w:rsidRPr="5E7CA050">
        <w:rPr>
          <w:lang w:val="en-AU"/>
        </w:rPr>
        <w:t>currently within section 1.1.2</w:t>
      </w:r>
      <w:r w:rsidRPr="5E7CA050">
        <w:rPr>
          <w:rFonts w:eastAsia="Calibri"/>
        </w:rPr>
        <w:t>—</w:t>
      </w:r>
      <w:r w:rsidR="3F239685" w:rsidRPr="5E7CA050">
        <w:rPr>
          <w:rFonts w:eastAsia="Calibri"/>
        </w:rPr>
        <w:t>3</w:t>
      </w:r>
      <w:r w:rsidRPr="5E7CA050">
        <w:rPr>
          <w:lang w:val="en-AU"/>
        </w:rPr>
        <w:t xml:space="preserve"> was developed in the 1990s and the industry and consumer base has evolved significantly over the past 20-30 years (see section </w:t>
      </w:r>
      <w:r w:rsidR="35CDFD5D" w:rsidRPr="5E7CA050">
        <w:rPr>
          <w:lang w:val="en-AU"/>
        </w:rPr>
        <w:t>2</w:t>
      </w:r>
      <w:r w:rsidR="55DCA2F0" w:rsidRPr="5E7CA050">
        <w:rPr>
          <w:lang w:val="en-AU"/>
        </w:rPr>
        <w:t xml:space="preserve"> of this consultation paper</w:t>
      </w:r>
      <w:r w:rsidRPr="5E7CA050">
        <w:rPr>
          <w:lang w:val="en-AU"/>
        </w:rPr>
        <w:t xml:space="preserve">). In its current wording, this definition </w:t>
      </w:r>
      <w:r w:rsidR="4345447F" w:rsidRPr="5E7CA050">
        <w:rPr>
          <w:lang w:val="en-AU"/>
        </w:rPr>
        <w:t xml:space="preserve">explains </w:t>
      </w:r>
      <w:r w:rsidRPr="5E7CA050">
        <w:rPr>
          <w:lang w:val="en-AU"/>
        </w:rPr>
        <w:t>that</w:t>
      </w:r>
      <w:r w:rsidR="4345447F" w:rsidRPr="5E7CA050">
        <w:rPr>
          <w:lang w:val="en-AU"/>
        </w:rPr>
        <w:t xml:space="preserve"> FSSF is food</w:t>
      </w:r>
      <w:r w:rsidRPr="5E7CA050">
        <w:rPr>
          <w:lang w:val="en-AU"/>
        </w:rPr>
        <w:t xml:space="preserve"> </w:t>
      </w:r>
      <w:r w:rsidRPr="5E7CA050">
        <w:rPr>
          <w:i/>
          <w:iCs/>
          <w:lang w:val="en-AU"/>
        </w:rPr>
        <w:t>specially formulated to assist sports people in achieving specific nutritional or performance goals</w:t>
      </w:r>
      <w:r w:rsidRPr="5E7CA050">
        <w:rPr>
          <w:lang w:val="en-AU"/>
        </w:rPr>
        <w:t xml:space="preserve">. </w:t>
      </w:r>
      <w:r w:rsidR="4345447F" w:rsidRPr="5E7CA050">
        <w:rPr>
          <w:lang w:val="en-AU"/>
        </w:rPr>
        <w:t>If a food meets the definition of FSSF, it must comply with the compositional and labelling requirements that apply to FSSF.</w:t>
      </w:r>
    </w:p>
    <w:p w14:paraId="09E7D4FE" w14:textId="1B57B451" w:rsidR="002B5EA3" w:rsidRDefault="00272ED9" w:rsidP="00E9127E">
      <w:pPr>
        <w:widowControl/>
        <w:spacing w:after="160"/>
        <w:rPr>
          <w:lang w:val="en-AU"/>
        </w:rPr>
      </w:pPr>
      <w:r>
        <w:rPr>
          <w:lang w:val="en-AU"/>
        </w:rPr>
        <w:t xml:space="preserve">Based on the above, </w:t>
      </w:r>
      <w:r w:rsidR="00DC03E9">
        <w:rPr>
          <w:lang w:val="en-AU"/>
        </w:rPr>
        <w:t xml:space="preserve">sports foods, if regulated as FSSF, </w:t>
      </w:r>
      <w:r w:rsidR="002B5EA3">
        <w:rPr>
          <w:lang w:val="en-AU"/>
        </w:rPr>
        <w:t>are thus</w:t>
      </w:r>
      <w:r w:rsidR="000A77AC">
        <w:rPr>
          <w:lang w:val="en-AU"/>
        </w:rPr>
        <w:t xml:space="preserve"> presently </w:t>
      </w:r>
      <w:r>
        <w:rPr>
          <w:lang w:val="en-AU"/>
        </w:rPr>
        <w:t>intended to be</w:t>
      </w:r>
      <w:r w:rsidR="002B5EA3">
        <w:rPr>
          <w:lang w:val="en-AU"/>
        </w:rPr>
        <w:t>:</w:t>
      </w:r>
    </w:p>
    <w:p w14:paraId="1DE2B744" w14:textId="77777777" w:rsidR="002B5EA3" w:rsidRDefault="002B5EA3" w:rsidP="00E9127E">
      <w:pPr>
        <w:pStyle w:val="FSBullet1"/>
        <w:numPr>
          <w:ilvl w:val="0"/>
          <w:numId w:val="14"/>
        </w:numPr>
        <w:spacing w:line="259" w:lineRule="auto"/>
        <w:rPr>
          <w:lang w:val="en-AU"/>
        </w:rPr>
      </w:pPr>
      <w:r w:rsidRPr="56AECBCA">
        <w:rPr>
          <w:lang w:val="en-AU"/>
        </w:rPr>
        <w:t>specially formulated</w:t>
      </w:r>
    </w:p>
    <w:p w14:paraId="1D9D7EE0" w14:textId="2912CE63" w:rsidR="002B5EA3" w:rsidRDefault="002B5EA3" w:rsidP="00E9127E">
      <w:pPr>
        <w:pStyle w:val="FSBullet1"/>
        <w:numPr>
          <w:ilvl w:val="0"/>
          <w:numId w:val="14"/>
        </w:numPr>
        <w:spacing w:line="259" w:lineRule="auto"/>
      </w:pPr>
      <w:r w:rsidRPr="273439B9">
        <w:rPr>
          <w:lang w:val="en-AU"/>
        </w:rPr>
        <w:t>designed to meet the health needs of a particular sub</w:t>
      </w:r>
      <w:r w:rsidR="22D72858" w:rsidRPr="273439B9">
        <w:rPr>
          <w:lang w:val="en-AU"/>
        </w:rPr>
        <w:t>-</w:t>
      </w:r>
      <w:r w:rsidRPr="273439B9">
        <w:rPr>
          <w:lang w:val="en-AU"/>
        </w:rPr>
        <w:t>group, noting t</w:t>
      </w:r>
      <w:r>
        <w:t xml:space="preserve">here is no explicit definition of </w:t>
      </w:r>
      <w:r w:rsidRPr="273439B9">
        <w:rPr>
          <w:i/>
          <w:iCs/>
        </w:rPr>
        <w:t xml:space="preserve">sports person </w:t>
      </w:r>
      <w:r>
        <w:t>in the Code and thus, the ordinary meaning of that term applies i.e. a person who takes part in sport</w:t>
      </w:r>
    </w:p>
    <w:p w14:paraId="3E1922AE" w14:textId="518464D6" w:rsidR="002B5EA3" w:rsidRDefault="000A77AC" w:rsidP="00E9127E">
      <w:pPr>
        <w:pStyle w:val="FSBullet1"/>
        <w:numPr>
          <w:ilvl w:val="0"/>
          <w:numId w:val="14"/>
        </w:numPr>
        <w:spacing w:line="259" w:lineRule="auto"/>
        <w:rPr>
          <w:lang w:val="en-AU"/>
        </w:rPr>
      </w:pPr>
      <w:r>
        <w:t xml:space="preserve">consumed for the </w:t>
      </w:r>
      <w:r w:rsidR="002B5EA3">
        <w:t>deliver</w:t>
      </w:r>
      <w:r>
        <w:t>y of</w:t>
      </w:r>
      <w:r w:rsidR="002B5EA3">
        <w:t xml:space="preserve"> nutrients at higher levels than current permissions and other substances not currently permitted</w:t>
      </w:r>
      <w:r w:rsidR="004B6BA0">
        <w:t>.</w:t>
      </w:r>
    </w:p>
    <w:p w14:paraId="6DBB8A94" w14:textId="26BBA54D" w:rsidR="00EF6431" w:rsidRDefault="4750DBD1" w:rsidP="5E7CA050">
      <w:pPr>
        <w:spacing w:before="100" w:beforeAutospacing="1" w:after="100" w:afterAutospacing="1"/>
        <w:rPr>
          <w:lang w:val="en-AU" w:eastAsia="en-AU"/>
        </w:rPr>
      </w:pPr>
      <w:r w:rsidRPr="5E7CA050">
        <w:rPr>
          <w:lang w:val="en-AU" w:eastAsia="en-AU"/>
        </w:rPr>
        <w:t xml:space="preserve">In reviewing the wording of the definition of </w:t>
      </w:r>
      <w:r w:rsidR="00C23A40">
        <w:rPr>
          <w:lang w:val="en-AU" w:eastAsia="en-AU"/>
        </w:rPr>
        <w:t>sports foods</w:t>
      </w:r>
      <w:r w:rsidR="00C23A40" w:rsidRPr="5E7CA050">
        <w:rPr>
          <w:lang w:val="en-AU" w:eastAsia="en-AU"/>
        </w:rPr>
        <w:t xml:space="preserve"> </w:t>
      </w:r>
      <w:r w:rsidR="0D6FB6E9" w:rsidRPr="5E7CA050">
        <w:rPr>
          <w:lang w:val="en-AU" w:eastAsia="en-AU"/>
        </w:rPr>
        <w:t>in</w:t>
      </w:r>
      <w:r w:rsidR="104FD60A" w:rsidRPr="5E7CA050">
        <w:rPr>
          <w:lang w:val="en-AU" w:eastAsia="en-AU"/>
        </w:rPr>
        <w:t xml:space="preserve"> Standard 2.9.4, </w:t>
      </w:r>
      <w:r w:rsidRPr="5E7CA050">
        <w:rPr>
          <w:lang w:val="en-AU" w:eastAsia="en-AU"/>
        </w:rPr>
        <w:t>there are several considerations.</w:t>
      </w:r>
      <w:r w:rsidR="4345447F" w:rsidRPr="5E7CA050">
        <w:rPr>
          <w:lang w:val="en-AU" w:eastAsia="en-AU"/>
        </w:rPr>
        <w:t xml:space="preserve"> The definition must be framed in a way that recognises and is consistent with the legislative distinction between what constitutes a food and what constitutes a therapeutic good (see section </w:t>
      </w:r>
      <w:r w:rsidR="00A159C8">
        <w:rPr>
          <w:lang w:val="en-AU" w:eastAsia="en-AU"/>
        </w:rPr>
        <w:t>2</w:t>
      </w:r>
      <w:r w:rsidR="4345447F" w:rsidRPr="5E7CA050">
        <w:rPr>
          <w:lang w:val="en-AU" w:eastAsia="en-AU"/>
        </w:rPr>
        <w:t>.2.8 in this consultation paper).</w:t>
      </w:r>
      <w:r w:rsidR="104FD60A" w:rsidRPr="5E7CA050">
        <w:rPr>
          <w:lang w:val="en-AU" w:eastAsia="en-AU"/>
        </w:rPr>
        <w:t xml:space="preserve"> </w:t>
      </w:r>
    </w:p>
    <w:p w14:paraId="6A9E8D44" w14:textId="1EDEA9DC" w:rsidR="002B5EA3" w:rsidRDefault="430B62B9" w:rsidP="5E7CA050">
      <w:pPr>
        <w:spacing w:before="100" w:beforeAutospacing="1" w:after="100" w:afterAutospacing="1"/>
      </w:pPr>
      <w:r>
        <w:rPr>
          <w:lang w:val="en-AU" w:eastAsia="en-AU"/>
        </w:rPr>
        <w:t>Second, t</w:t>
      </w:r>
      <w:r w:rsidR="5ADC6E64">
        <w:rPr>
          <w:lang w:val="en-AU" w:eastAsia="en-AU"/>
        </w:rPr>
        <w:t>he definition</w:t>
      </w:r>
      <w:r w:rsidR="4345447F">
        <w:rPr>
          <w:lang w:val="en-AU" w:eastAsia="en-AU"/>
        </w:rPr>
        <w:t xml:space="preserve"> provides guidance </w:t>
      </w:r>
      <w:r w:rsidR="4345447F" w:rsidRPr="5E7CA050">
        <w:rPr>
          <w:lang w:val="en-AU" w:eastAsia="en-AU"/>
        </w:rPr>
        <w:t>on</w:t>
      </w:r>
      <w:r w:rsidR="5FDADC5E">
        <w:rPr>
          <w:lang w:val="en-AU" w:eastAsia="en-AU"/>
        </w:rPr>
        <w:t xml:space="preserve"> </w:t>
      </w:r>
      <w:r w:rsidR="5ADC6E64">
        <w:rPr>
          <w:lang w:val="en-AU" w:eastAsia="en-AU"/>
        </w:rPr>
        <w:t xml:space="preserve">the nature of assessment undertaken by FSANZ when considering the safety and suitability of new substances </w:t>
      </w:r>
      <w:r w:rsidR="73523848">
        <w:rPr>
          <w:lang w:val="en-AU" w:eastAsia="en-AU"/>
        </w:rPr>
        <w:t>(</w:t>
      </w:r>
      <w:r w:rsidR="5ADC6E64">
        <w:rPr>
          <w:lang w:val="en-AU" w:eastAsia="en-AU"/>
        </w:rPr>
        <w:t>via applications</w:t>
      </w:r>
      <w:r w:rsidR="58143656">
        <w:rPr>
          <w:lang w:val="en-AU" w:eastAsia="en-AU"/>
        </w:rPr>
        <w:t>)</w:t>
      </w:r>
      <w:r w:rsidR="5ADC6E64">
        <w:rPr>
          <w:lang w:val="en-AU" w:eastAsia="en-AU"/>
        </w:rPr>
        <w:t xml:space="preserve">. </w:t>
      </w:r>
      <w:r w:rsidR="7CF3DDAF">
        <w:rPr>
          <w:lang w:val="en-AU" w:eastAsia="en-AU"/>
        </w:rPr>
        <w:t xml:space="preserve">For example, in the case of new nutritive substances, </w:t>
      </w:r>
      <w:r w:rsidR="5105B040">
        <w:rPr>
          <w:lang w:val="en-AU" w:eastAsia="en-AU"/>
        </w:rPr>
        <w:t xml:space="preserve">section 3.3.3 of </w:t>
      </w:r>
      <w:r w:rsidR="7CF3DDAF">
        <w:rPr>
          <w:lang w:val="en-AU" w:eastAsia="en-AU"/>
        </w:rPr>
        <w:t>t</w:t>
      </w:r>
      <w:r w:rsidR="5ADC6E64">
        <w:rPr>
          <w:lang w:val="en-AU" w:eastAsia="en-AU"/>
        </w:rPr>
        <w:t xml:space="preserve">he </w:t>
      </w:r>
      <w:r w:rsidR="5ADC6E64" w:rsidRPr="00B15BDC">
        <w:rPr>
          <w:lang w:val="en-AU" w:eastAsia="en-AU"/>
        </w:rPr>
        <w:t xml:space="preserve">Application </w:t>
      </w:r>
      <w:r w:rsidR="5ADC6E64" w:rsidRPr="00B15BDC">
        <w:t>Handbook</w:t>
      </w:r>
      <w:r w:rsidR="5ADC6E64">
        <w:t xml:space="preserve"> </w:t>
      </w:r>
      <w:r w:rsidR="5ADC6E64">
        <w:lastRenderedPageBreak/>
        <w:t xml:space="preserve">requires evidence </w:t>
      </w:r>
      <w:r w:rsidR="4F45B147">
        <w:t xml:space="preserve">of a </w:t>
      </w:r>
      <w:r w:rsidR="7FF5903A">
        <w:t>nutritional purpose</w:t>
      </w:r>
      <w:r w:rsidR="002B5EA3">
        <w:rPr>
          <w:rStyle w:val="FootnoteReference"/>
        </w:rPr>
        <w:footnoteReference w:id="31"/>
      </w:r>
      <w:r w:rsidR="5ADC6E64">
        <w:t xml:space="preserve"> </w:t>
      </w:r>
      <w:r w:rsidR="43DC1BB7">
        <w:t>i.e.</w:t>
      </w:r>
      <w:r w:rsidR="5ADC6E64">
        <w:t xml:space="preserve"> to demonstrate purpose relative to th</w:t>
      </w:r>
      <w:r w:rsidR="7FF5903A">
        <w:t xml:space="preserve">at which is </w:t>
      </w:r>
      <w:r w:rsidR="5ADC6E64">
        <w:t>outlined in the definition</w:t>
      </w:r>
      <w:r w:rsidR="50DD3F55">
        <w:t xml:space="preserve"> of a “substance used as a nutritive substance” in section 1.1.2—12 of the Code</w:t>
      </w:r>
      <w:r w:rsidR="5ADC6E64">
        <w:t>. At present</w:t>
      </w:r>
      <w:r w:rsidR="7FF5903A">
        <w:t>,</w:t>
      </w:r>
      <w:r w:rsidR="5ADC6E64">
        <w:t xml:space="preserve"> </w:t>
      </w:r>
      <w:r w:rsidR="50DD3F55">
        <w:t xml:space="preserve">the definition of </w:t>
      </w:r>
      <w:r w:rsidR="008D13E7">
        <w:t xml:space="preserve">an </w:t>
      </w:r>
      <w:r w:rsidR="50DD3F55">
        <w:t>FSSF,</w:t>
      </w:r>
      <w:r w:rsidR="45BFED21">
        <w:t xml:space="preserve"> as mentioned above,</w:t>
      </w:r>
      <w:r w:rsidR="5ADC6E64">
        <w:t xml:space="preserve"> is specific to a person </w:t>
      </w:r>
      <w:r w:rsidR="5ADC6E64" w:rsidRPr="5E7CA050">
        <w:rPr>
          <w:i/>
          <w:iCs/>
        </w:rPr>
        <w:t>achieving nutritional or performance goals</w:t>
      </w:r>
      <w:r w:rsidR="5ADC6E64">
        <w:t xml:space="preserve">. </w:t>
      </w:r>
    </w:p>
    <w:p w14:paraId="2D9E9B0A" w14:textId="5D9728F0" w:rsidR="00055B4B" w:rsidRPr="008B72DF" w:rsidRDefault="45BFED21" w:rsidP="5E7CA050">
      <w:pPr>
        <w:spacing w:before="100" w:beforeAutospacing="1" w:after="100" w:afterAutospacing="1"/>
        <w:rPr>
          <w:lang w:val="en-AU" w:eastAsia="en-AU"/>
        </w:rPr>
      </w:pPr>
      <w:r w:rsidRPr="5E7CA050">
        <w:rPr>
          <w:lang w:val="en-AU" w:eastAsia="en-AU"/>
        </w:rPr>
        <w:t>F</w:t>
      </w:r>
      <w:r w:rsidR="5FE3C0CE" w:rsidRPr="5E7CA050">
        <w:rPr>
          <w:lang w:val="en-AU" w:eastAsia="en-AU"/>
        </w:rPr>
        <w:t>inally</w:t>
      </w:r>
      <w:r w:rsidRPr="5E7CA050">
        <w:rPr>
          <w:lang w:val="en-AU" w:eastAsia="en-AU"/>
        </w:rPr>
        <w:t xml:space="preserve">, </w:t>
      </w:r>
      <w:r w:rsidR="159DAFF2" w:rsidRPr="5E7CA050">
        <w:rPr>
          <w:lang w:val="en-AU" w:eastAsia="en-AU"/>
        </w:rPr>
        <w:t>FSANZ notes that</w:t>
      </w:r>
      <w:r w:rsidR="1DDD84AF" w:rsidRPr="5E7CA050">
        <w:rPr>
          <w:lang w:val="en-AU" w:eastAsia="en-AU"/>
        </w:rPr>
        <w:t xml:space="preserve"> it</w:t>
      </w:r>
      <w:r w:rsidR="159DAFF2" w:rsidRPr="5E7CA050">
        <w:rPr>
          <w:lang w:val="en-AU" w:eastAsia="en-AU"/>
        </w:rPr>
        <w:t xml:space="preserve"> is arguable that consumers who are not elite or professional ‘sports people’ could viably be a part of this </w:t>
      </w:r>
      <w:r w:rsidR="4345447F" w:rsidRPr="5E7CA050">
        <w:rPr>
          <w:lang w:val="en-AU" w:eastAsia="en-AU"/>
        </w:rPr>
        <w:t xml:space="preserve">population </w:t>
      </w:r>
      <w:r w:rsidR="159DAFF2" w:rsidRPr="5E7CA050">
        <w:rPr>
          <w:lang w:val="en-AU" w:eastAsia="en-AU"/>
        </w:rPr>
        <w:t>group if they are exercising regularly (</w:t>
      </w:r>
      <w:r w:rsidR="70945FEE" w:rsidRPr="5E7CA050">
        <w:rPr>
          <w:lang w:val="en-AU" w:eastAsia="en-AU"/>
        </w:rPr>
        <w:t>i.e.</w:t>
      </w:r>
      <w:r w:rsidR="159DAFF2" w:rsidRPr="5E7CA050">
        <w:rPr>
          <w:lang w:val="en-AU" w:eastAsia="en-AU"/>
        </w:rPr>
        <w:t xml:space="preserve"> to the extent that the latter results in physical and physiological conditions that require altered energy and nutritional intake). In this context, the term 'sports people' may no longer be appropriate.</w:t>
      </w:r>
    </w:p>
    <w:p w14:paraId="0BFC6176" w14:textId="0C1DB95C" w:rsidR="002B5EA3" w:rsidRDefault="002B5EA3" w:rsidP="00251931">
      <w:pPr>
        <w:pStyle w:val="Heading3"/>
      </w:pPr>
      <w:bookmarkStart w:id="47" w:name="_Toc122602219"/>
      <w:r>
        <w:t>Regarding the definition of a ‘one-day quantity’</w:t>
      </w:r>
      <w:bookmarkEnd w:id="47"/>
    </w:p>
    <w:p w14:paraId="49236800" w14:textId="1E003378" w:rsidR="002B5EA3" w:rsidRDefault="5ADC6E64" w:rsidP="002B5EA3">
      <w:r>
        <w:t xml:space="preserve">The current definition in the Code of a ‘one-day quantity’ refers to </w:t>
      </w:r>
      <w:r w:rsidRPr="5E7CA050">
        <w:rPr>
          <w:i/>
          <w:iCs/>
        </w:rPr>
        <w:t xml:space="preserve">the amount of that food which is to be consumed in one day in accordance with directions specified on the label. </w:t>
      </w:r>
      <w:r w:rsidR="2D6DD903">
        <w:t xml:space="preserve">The definition relates specifically to FSSF and the amount of FSSF consumed in one day. </w:t>
      </w:r>
      <w:r>
        <w:t xml:space="preserve">It </w:t>
      </w:r>
      <w:r w:rsidR="4345447F">
        <w:t xml:space="preserve">does not relate to the daily amount consumed by a person from all food in one day. </w:t>
      </w:r>
      <w:r>
        <w:t xml:space="preserve">There are two issues that FSANZ is aware of with this definition in the context of the current </w:t>
      </w:r>
      <w:r w:rsidR="00B531EC">
        <w:t xml:space="preserve">sports foods </w:t>
      </w:r>
      <w:r>
        <w:t xml:space="preserve">market. </w:t>
      </w:r>
    </w:p>
    <w:p w14:paraId="26DEA0D9" w14:textId="77777777" w:rsidR="00202DCC" w:rsidRDefault="00202DCC" w:rsidP="002B5EA3"/>
    <w:p w14:paraId="53BCD1E5" w14:textId="4BD3BA0F" w:rsidR="004E26CE" w:rsidRDefault="356A2DB9" w:rsidP="004E26CE">
      <w:r>
        <w:t>A social science literature review conducted in 2013 by FSANZ</w:t>
      </w:r>
      <w:r w:rsidR="7512883E">
        <w:t xml:space="preserve"> </w:t>
      </w:r>
      <w:r w:rsidR="111C0B5C">
        <w:t xml:space="preserve">suggested </w:t>
      </w:r>
      <w:r w:rsidR="5ADC6E64">
        <w:t>that</w:t>
      </w:r>
      <w:r>
        <w:t xml:space="preserve"> a subset of consumers are frequently taking more than one sports food product at the same time. An example of how this may be happening is via the </w:t>
      </w:r>
      <w:r w:rsidR="5ADC6E64">
        <w:t>emerging practice of ‘stacking’</w:t>
      </w:r>
      <w:r>
        <w:t>.</w:t>
      </w:r>
      <w:r w:rsidR="3018934F">
        <w:t xml:space="preserve"> Stacking is when consumers are encouraged to use multiple products before, during and after a workout and sometimes several times a day (i.e. during the workout and/or then between meals for the rest of the day). This often includes three to four products including a fat burner or stimulant, a protein powder, a creatine or carnitine powder and/or a</w:t>
      </w:r>
      <w:r w:rsidR="00EC5976">
        <w:t xml:space="preserve"> branched-chain amino acid</w:t>
      </w:r>
      <w:r w:rsidR="00EA7056">
        <w:t xml:space="preserve"> (</w:t>
      </w:r>
      <w:r w:rsidR="3018934F">
        <w:t>BCAA</w:t>
      </w:r>
      <w:r w:rsidR="00EA7056">
        <w:t xml:space="preserve">) </w:t>
      </w:r>
      <w:r w:rsidR="3018934F">
        <w:t xml:space="preserve">blend. Many of these products also include ‘proprietary blends’ where the blend is listed in the ingredients list and as a ‘blend’ </w:t>
      </w:r>
      <w:r w:rsidR="6299C70E">
        <w:t>included in th</w:t>
      </w:r>
      <w:r w:rsidR="3CB287E9">
        <w:t>e nutrition information panel (</w:t>
      </w:r>
      <w:r w:rsidR="3018934F">
        <w:t>NIP</w:t>
      </w:r>
      <w:r w:rsidR="3CB287E9">
        <w:t>)</w:t>
      </w:r>
      <w:r w:rsidR="3018934F">
        <w:t xml:space="preserve">, but do not separate out the amounts of each individual ingredient </w:t>
      </w:r>
      <w:r w:rsidR="7E0AFC74">
        <w:t xml:space="preserve">in </w:t>
      </w:r>
      <w:r w:rsidR="3018934F">
        <w:t>the NIP. Some products are promoted such that when taken individually</w:t>
      </w:r>
      <w:r w:rsidR="5B0A44A1">
        <w:t>,</w:t>
      </w:r>
      <w:r w:rsidR="3018934F">
        <w:t xml:space="preserve"> are compliant with the Code</w:t>
      </w:r>
      <w:r w:rsidR="411C9E18">
        <w:t>,</w:t>
      </w:r>
      <w:r w:rsidR="3018934F">
        <w:t xml:space="preserve"> but when taken as part of a ‘stack’ may contribute to exceeding the maximum one-day quantity and sometimes the Upper Level</w:t>
      </w:r>
      <w:r w:rsidR="00135428">
        <w:t xml:space="preserve"> of Intake</w:t>
      </w:r>
      <w:r w:rsidR="3018934F">
        <w:t xml:space="preserve"> (UL).</w:t>
      </w:r>
    </w:p>
    <w:p w14:paraId="0EFD69A5" w14:textId="77777777" w:rsidR="004E26CE" w:rsidRDefault="004E26CE" w:rsidP="004E26CE"/>
    <w:p w14:paraId="632D76EF" w14:textId="2ACA8C33" w:rsidR="00202DCC" w:rsidRDefault="00202DCC" w:rsidP="004E26CE">
      <w:r>
        <w:t>For example:</w:t>
      </w:r>
    </w:p>
    <w:p w14:paraId="73175F24" w14:textId="77777777" w:rsidR="00EB3140" w:rsidRDefault="00EB3140" w:rsidP="004E26CE"/>
    <w:p w14:paraId="6238AD4D" w14:textId="5BE283CB" w:rsidR="00202DCC" w:rsidRDefault="00202DCC" w:rsidP="00202DCC">
      <w:pPr>
        <w:spacing w:after="160"/>
      </w:pPr>
      <w:r w:rsidRPr="273439B9">
        <w:rPr>
          <w:i/>
          <w:iCs/>
        </w:rPr>
        <w:t>Product One</w:t>
      </w:r>
      <w:r>
        <w:t xml:space="preserve"> (Protein Powder): Includ</w:t>
      </w:r>
      <w:r w:rsidR="33F0AFE5">
        <w:t>es</w:t>
      </w:r>
      <w:r>
        <w:t xml:space="preserve"> multiple forms of carnitine in a ‘proprietary blend’ in unknown quantities and listed on the NIP as a proprietary blend. </w:t>
      </w:r>
    </w:p>
    <w:p w14:paraId="335D5431" w14:textId="295292EB" w:rsidR="00202DCC" w:rsidRDefault="00202DCC" w:rsidP="00202DCC">
      <w:pPr>
        <w:spacing w:after="160"/>
      </w:pPr>
      <w:r w:rsidRPr="46DBC1C2">
        <w:rPr>
          <w:i/>
          <w:iCs/>
        </w:rPr>
        <w:t>Product Two</w:t>
      </w:r>
      <w:r>
        <w:t xml:space="preserve"> (Fat Burner): comprised L-carnitine sold on its own which was compliant for one serve (1 g allowable in the Code) but to the side of the NIP recommends taking 1-3 serves per day. Over one serve per day is non-compliant with the Code and alongside the protein powder, which includes a proprietary blend of three different forms of L-carnitine of unknown quantities, far exceeds the maximum permitted amount.</w:t>
      </w:r>
    </w:p>
    <w:p w14:paraId="1E73A0E3" w14:textId="77777777" w:rsidR="00202DCC" w:rsidRDefault="00202DCC" w:rsidP="00202DCC">
      <w:pPr>
        <w:spacing w:after="160"/>
      </w:pPr>
      <w:r w:rsidRPr="1A91526F">
        <w:rPr>
          <w:i/>
          <w:iCs/>
        </w:rPr>
        <w:t>Product Three</w:t>
      </w:r>
      <w:r>
        <w:t xml:space="preserve"> (Amino acids): Compliant with the Code and does not exceed any maximum permitted one-day quantity when assessed against all other products in the stack.</w:t>
      </w:r>
    </w:p>
    <w:p w14:paraId="39EE8DCA" w14:textId="79D2D953" w:rsidR="00202DCC" w:rsidRDefault="00202DCC" w:rsidP="002B422F">
      <w:pPr>
        <w:spacing w:after="160"/>
      </w:pPr>
      <w:r w:rsidRPr="1A91526F">
        <w:rPr>
          <w:i/>
          <w:iCs/>
        </w:rPr>
        <w:t>Product Four</w:t>
      </w:r>
      <w:r>
        <w:t xml:space="preserve"> (L-glutamine): comprises L-glutamine sold on its own with one serve being compliant at 3 g. </w:t>
      </w:r>
    </w:p>
    <w:p w14:paraId="7AE7B9F9" w14:textId="2EA92873" w:rsidR="00A05DF6" w:rsidRPr="00816E2A" w:rsidRDefault="002B5EA3" w:rsidP="00251931">
      <w:pPr>
        <w:pStyle w:val="Heading3"/>
      </w:pPr>
      <w:bookmarkStart w:id="48" w:name="_Toc122602220"/>
      <w:r>
        <w:lastRenderedPageBreak/>
        <w:t>Questions</w:t>
      </w:r>
      <w:bookmarkEnd w:id="48"/>
    </w:p>
    <w:p w14:paraId="458EF5DA" w14:textId="547C4F29" w:rsidR="002B5EA3" w:rsidRPr="009A2030" w:rsidRDefault="009A2030" w:rsidP="009A2030">
      <w:pPr>
        <w:pStyle w:val="FSBullet1"/>
        <w:numPr>
          <w:ilvl w:val="0"/>
          <w:numId w:val="0"/>
        </w:numPr>
        <w:spacing w:before="120" w:after="120"/>
        <w:ind w:left="709" w:hanging="709"/>
        <w:rPr>
          <w:lang w:val="en-AU" w:eastAsia="en-AU"/>
        </w:rPr>
      </w:pPr>
      <w:r>
        <w:rPr>
          <w:lang w:val="en-AU" w:eastAsia="en-AU"/>
        </w:rPr>
        <w:t>Q2.</w:t>
      </w:r>
      <w:r>
        <w:rPr>
          <w:lang w:val="en-AU" w:eastAsia="en-AU"/>
        </w:rPr>
        <w:tab/>
      </w:r>
      <w:r w:rsidR="002B5EA3" w:rsidRPr="009A2030">
        <w:rPr>
          <w:lang w:val="en-AU" w:eastAsia="en-AU"/>
        </w:rPr>
        <w:t>As a consumer, regulator or industry stakeholder, have you identified any issues resulting from the definitions in the Code</w:t>
      </w:r>
      <w:r w:rsidR="00E04B78" w:rsidRPr="009A2030">
        <w:rPr>
          <w:lang w:val="en-AU" w:eastAsia="en-AU"/>
        </w:rPr>
        <w:t>? I</w:t>
      </w:r>
      <w:r w:rsidR="002B5EA3" w:rsidRPr="009A2030">
        <w:rPr>
          <w:lang w:val="en-AU" w:eastAsia="en-AU"/>
        </w:rPr>
        <w:t>f so, what are they</w:t>
      </w:r>
      <w:r w:rsidR="00C02C3A" w:rsidRPr="009A2030">
        <w:rPr>
          <w:lang w:val="en-AU" w:eastAsia="en-AU"/>
        </w:rPr>
        <w:t xml:space="preserve"> and why are they an issue?</w:t>
      </w:r>
    </w:p>
    <w:p w14:paraId="187A86A3" w14:textId="6FEAA613" w:rsidR="002B5EA3" w:rsidRPr="009A2030" w:rsidRDefault="009A2030" w:rsidP="009A2030">
      <w:pPr>
        <w:pStyle w:val="FSBullet1"/>
        <w:numPr>
          <w:ilvl w:val="0"/>
          <w:numId w:val="0"/>
        </w:numPr>
        <w:spacing w:before="120" w:after="120"/>
        <w:ind w:left="709" w:hanging="709"/>
        <w:rPr>
          <w:lang w:val="en-AU" w:eastAsia="en-AU"/>
        </w:rPr>
      </w:pPr>
      <w:r>
        <w:rPr>
          <w:lang w:val="en-AU" w:eastAsia="en-AU"/>
        </w:rPr>
        <w:t>Q3.</w:t>
      </w:r>
      <w:r>
        <w:rPr>
          <w:lang w:val="en-AU" w:eastAsia="en-AU"/>
        </w:rPr>
        <w:tab/>
      </w:r>
      <w:r w:rsidR="002B5EA3" w:rsidRPr="009A2030">
        <w:rPr>
          <w:lang w:val="en-AU" w:eastAsia="en-AU"/>
        </w:rPr>
        <w:t>For industry</w:t>
      </w:r>
      <w:r w:rsidR="00EB3140" w:rsidRPr="009A2030">
        <w:rPr>
          <w:lang w:val="en-AU" w:eastAsia="en-AU"/>
        </w:rPr>
        <w:t xml:space="preserve"> and regulators</w:t>
      </w:r>
      <w:r w:rsidR="002B5EA3" w:rsidRPr="009A2030">
        <w:rPr>
          <w:lang w:val="en-AU" w:eastAsia="en-AU"/>
        </w:rPr>
        <w:t xml:space="preserve">, how </w:t>
      </w:r>
      <w:r w:rsidR="008011BE" w:rsidRPr="009A2030">
        <w:rPr>
          <w:lang w:val="en-AU" w:eastAsia="en-AU"/>
        </w:rPr>
        <w:t>sh</w:t>
      </w:r>
      <w:r w:rsidR="002B5EA3" w:rsidRPr="009A2030">
        <w:rPr>
          <w:lang w:val="en-AU" w:eastAsia="en-AU"/>
        </w:rPr>
        <w:t xml:space="preserve">ould proprietary blends </w:t>
      </w:r>
      <w:r w:rsidR="00EB3140" w:rsidRPr="009A2030">
        <w:rPr>
          <w:lang w:val="en-AU" w:eastAsia="en-AU"/>
        </w:rPr>
        <w:t xml:space="preserve">or stacks </w:t>
      </w:r>
      <w:r w:rsidR="008011BE" w:rsidRPr="009A2030">
        <w:rPr>
          <w:lang w:val="en-AU" w:eastAsia="en-AU"/>
        </w:rPr>
        <w:t xml:space="preserve">best </w:t>
      </w:r>
      <w:r w:rsidR="002B5EA3" w:rsidRPr="009A2030">
        <w:rPr>
          <w:lang w:val="en-AU" w:eastAsia="en-AU"/>
        </w:rPr>
        <w:t>be regulated</w:t>
      </w:r>
      <w:r w:rsidR="008011BE" w:rsidRPr="009A2030">
        <w:rPr>
          <w:lang w:val="en-AU" w:eastAsia="en-AU"/>
        </w:rPr>
        <w:t xml:space="preserve"> and why</w:t>
      </w:r>
      <w:r w:rsidR="002B5EA3" w:rsidRPr="009A2030">
        <w:rPr>
          <w:lang w:val="en-AU" w:eastAsia="en-AU"/>
        </w:rPr>
        <w:t xml:space="preserve">? </w:t>
      </w:r>
    </w:p>
    <w:p w14:paraId="2F8BD7E8" w14:textId="4CEDE71A" w:rsidR="002B5EA3" w:rsidRPr="009A2030" w:rsidRDefault="009A2030" w:rsidP="009A2030">
      <w:pPr>
        <w:pStyle w:val="FSBullet1"/>
        <w:numPr>
          <w:ilvl w:val="0"/>
          <w:numId w:val="0"/>
        </w:numPr>
        <w:spacing w:before="120" w:after="120"/>
        <w:ind w:left="709" w:hanging="709"/>
        <w:rPr>
          <w:lang w:val="en-AU" w:eastAsia="en-AU"/>
        </w:rPr>
      </w:pPr>
      <w:r>
        <w:rPr>
          <w:lang w:val="en-AU" w:eastAsia="en-AU"/>
        </w:rPr>
        <w:t>Q4.</w:t>
      </w:r>
      <w:r>
        <w:rPr>
          <w:lang w:val="en-AU" w:eastAsia="en-AU"/>
        </w:rPr>
        <w:tab/>
      </w:r>
      <w:r w:rsidR="002B5EA3" w:rsidRPr="009A2030">
        <w:rPr>
          <w:lang w:val="en-AU" w:eastAsia="en-AU"/>
        </w:rPr>
        <w:t>For all, should the Code retain the existing definitions in Standard 2.9.4? If so, why and if not, why not?</w:t>
      </w:r>
    </w:p>
    <w:p w14:paraId="2A818318" w14:textId="12600DAE" w:rsidR="002B5EA3" w:rsidRPr="00EB3140" w:rsidRDefault="002B5EA3" w:rsidP="00324B88">
      <w:pPr>
        <w:pStyle w:val="Heading2"/>
      </w:pPr>
      <w:bookmarkStart w:id="49" w:name="_Toc122602221"/>
      <w:r>
        <w:t>Current compositional permissions</w:t>
      </w:r>
      <w:bookmarkEnd w:id="49"/>
    </w:p>
    <w:p w14:paraId="76F495F6" w14:textId="5C7B4581" w:rsidR="002B5EA3" w:rsidRDefault="5ADC6E64" w:rsidP="5E7CA050">
      <w:pPr>
        <w:spacing w:after="160"/>
        <w:rPr>
          <w:i/>
          <w:iCs/>
        </w:rPr>
      </w:pPr>
      <w:r>
        <w:t xml:space="preserve">In order to gather broad views on the standard, this paper has asked questions </w:t>
      </w:r>
      <w:r w:rsidR="6D6BE3B5">
        <w:t xml:space="preserve">so far </w:t>
      </w:r>
      <w:r>
        <w:t xml:space="preserve">on the </w:t>
      </w:r>
      <w:r w:rsidR="6D6BE3B5">
        <w:t>sports food market</w:t>
      </w:r>
      <w:r>
        <w:t xml:space="preserve"> (</w:t>
      </w:r>
      <w:r w:rsidR="6D6BE3B5">
        <w:t>s</w:t>
      </w:r>
      <w:r>
        <w:t xml:space="preserve">ection </w:t>
      </w:r>
      <w:r w:rsidR="4731712D">
        <w:t xml:space="preserve">3 </w:t>
      </w:r>
      <w:r w:rsidR="16B90C6B">
        <w:t>of this consultation paper</w:t>
      </w:r>
      <w:r>
        <w:t xml:space="preserve">), definitions and the overarching </w:t>
      </w:r>
      <w:r w:rsidR="4A010217">
        <w:t xml:space="preserve">definition within </w:t>
      </w:r>
      <w:r>
        <w:t>the standard (</w:t>
      </w:r>
      <w:r w:rsidR="6D6BE3B5">
        <w:t>s</w:t>
      </w:r>
      <w:r>
        <w:t xml:space="preserve">ection </w:t>
      </w:r>
      <w:r w:rsidR="4731712D">
        <w:t>4</w:t>
      </w:r>
      <w:r w:rsidR="6D6BE3B5">
        <w:t>.2</w:t>
      </w:r>
      <w:r w:rsidR="16B90C6B">
        <w:t xml:space="preserve"> of this consultation paper</w:t>
      </w:r>
      <w:r>
        <w:t>). Together, this will provide direction regarding the type</w:t>
      </w:r>
      <w:r w:rsidR="10313428">
        <w:t xml:space="preserve"> and</w:t>
      </w:r>
      <w:r>
        <w:t xml:space="preserve"> nature of foods that may eventually be permitted in a revised version of Standard 2.9.4. </w:t>
      </w:r>
    </w:p>
    <w:p w14:paraId="202A02FE" w14:textId="77777777" w:rsidR="002B5EA3" w:rsidRDefault="002B5EA3" w:rsidP="002B5EA3">
      <w:pPr>
        <w:spacing w:after="160"/>
      </w:pPr>
      <w:r>
        <w:t>As outlined above, Standard 2.9.4 permits the addition of vitamins, minerals and electrolytes such as sodium and potassium, amino acids and a small range of other nutritive substances to sports foods. The levels of vitamins and minerals are controlled based on relative risk either indirectly by permitting a maximum claim, or directly by permitting a maximum amount. </w:t>
      </w:r>
    </w:p>
    <w:p w14:paraId="4AED5ECC" w14:textId="276675EA" w:rsidR="002B5EA3" w:rsidRDefault="002B5EA3" w:rsidP="002B5EA3">
      <w:pPr>
        <w:spacing w:after="160"/>
      </w:pPr>
      <w:r>
        <w:t>Review of the standard will include a review of all substances already permitted under Standard 2.9.4 as well as a risk assessment of any other substances that FSANZ is considering for inclusions in</w:t>
      </w:r>
      <w:r w:rsidR="00AA4AD4">
        <w:t xml:space="preserve"> sports foods</w:t>
      </w:r>
      <w:r>
        <w:t xml:space="preserve">. </w:t>
      </w:r>
    </w:p>
    <w:p w14:paraId="0F5A9433" w14:textId="118306A6" w:rsidR="002B5EA3" w:rsidRDefault="002B5EA3" w:rsidP="002B5EA3">
      <w:pPr>
        <w:spacing w:after="160"/>
      </w:pPr>
      <w:r>
        <w:t>In recognition of th</w:t>
      </w:r>
      <w:r w:rsidR="6FC4BF6D">
        <w:t>e growth in product availability</w:t>
      </w:r>
      <w:r>
        <w:t>, i</w:t>
      </w:r>
      <w:r w:rsidRPr="00B26614">
        <w:t xml:space="preserve">n </w:t>
      </w:r>
      <w:r w:rsidRPr="1A91526F">
        <w:t>2021</w:t>
      </w:r>
      <w:r w:rsidRPr="00B26614">
        <w:t xml:space="preserve"> FSANZ conducted a </w:t>
      </w:r>
      <w:r w:rsidRPr="00A432F8">
        <w:t>Call for Data</w:t>
      </w:r>
      <w:r w:rsidRPr="00B26614">
        <w:t xml:space="preserve"> seeking technical and safety information on new or existing substances to be </w:t>
      </w:r>
      <w:r>
        <w:t xml:space="preserve">considered for addition to Standard 2.9.4. </w:t>
      </w:r>
      <w:r w:rsidRPr="00B26614">
        <w:t xml:space="preserve">The data provided is under review and will assist FSANZ in considering the compositional requirements of </w:t>
      </w:r>
      <w:r w:rsidR="00800DE1">
        <w:t>sports foods</w:t>
      </w:r>
      <w:r w:rsidRPr="00B26614">
        <w:t>, ensuring that any changes in permissions are underpinned by evidence</w:t>
      </w:r>
      <w:r>
        <w:noBreakHyphen/>
      </w:r>
      <w:r w:rsidRPr="00B26614">
        <w:t xml:space="preserve">based scientific assessment, </w:t>
      </w:r>
      <w:r>
        <w:t>in accordance with</w:t>
      </w:r>
      <w:r w:rsidRPr="00B26614">
        <w:t xml:space="preserve"> the </w:t>
      </w:r>
      <w:r>
        <w:t xml:space="preserve">FSANZ </w:t>
      </w:r>
      <w:r w:rsidRPr="00B26614">
        <w:t xml:space="preserve">Act. </w:t>
      </w:r>
      <w:r>
        <w:t>Much of this work on individual substances will be incorporated in the 1</w:t>
      </w:r>
      <w:r w:rsidRPr="00691618">
        <w:rPr>
          <w:vertAlign w:val="superscript"/>
        </w:rPr>
        <w:t>st</w:t>
      </w:r>
      <w:r>
        <w:t xml:space="preserve"> and 2</w:t>
      </w:r>
      <w:r w:rsidRPr="00691618">
        <w:rPr>
          <w:vertAlign w:val="superscript"/>
        </w:rPr>
        <w:t>nd</w:t>
      </w:r>
      <w:r>
        <w:t xml:space="preserve"> Call for Submissions. </w:t>
      </w:r>
    </w:p>
    <w:p w14:paraId="20F42512" w14:textId="77777777" w:rsidR="002B5EA3" w:rsidRDefault="002B5EA3" w:rsidP="002B5EA3">
      <w:pPr>
        <w:spacing w:after="160"/>
        <w:rPr>
          <w:rStyle w:val="normaltextrun"/>
          <w:color w:val="000000"/>
          <w:shd w:val="clear" w:color="auto" w:fill="FFFFFF"/>
        </w:rPr>
      </w:pPr>
      <w:r w:rsidRPr="00B26614">
        <w:t>This consultation paper is not requesting further technical and safety information, rather FSANZ is seeking input on the regulatory framework used in Standard 2.9.4 relating to compositional permissions.</w:t>
      </w:r>
      <w:r>
        <w:t xml:space="preserve"> </w:t>
      </w:r>
    </w:p>
    <w:p w14:paraId="2C9BD6F0" w14:textId="397281FB" w:rsidR="002B5EA3" w:rsidRDefault="002B5EA3" w:rsidP="00251931">
      <w:pPr>
        <w:pStyle w:val="Heading3"/>
      </w:pPr>
      <w:bookmarkStart w:id="50" w:name="_Toc122602222"/>
      <w:r>
        <w:t>Permitted forms</w:t>
      </w:r>
      <w:bookmarkEnd w:id="50"/>
    </w:p>
    <w:p w14:paraId="5F515F08" w14:textId="6E1EF931" w:rsidR="002B5EA3" w:rsidRDefault="002B5EA3" w:rsidP="002B5EA3">
      <w:pPr>
        <w:spacing w:after="160"/>
      </w:pPr>
      <w:r>
        <w:t xml:space="preserve">Permitted forms of substances added to </w:t>
      </w:r>
      <w:r w:rsidR="00BA0C64">
        <w:t>sports foods</w:t>
      </w:r>
      <w:r>
        <w:t xml:space="preserve"> </w:t>
      </w:r>
      <w:r w:rsidR="00792FF9">
        <w:t xml:space="preserve">in the Code </w:t>
      </w:r>
      <w:r>
        <w:t>are set out in section 2.9.4</w:t>
      </w:r>
      <w:r w:rsidR="0005181A">
        <w:t>–</w:t>
      </w:r>
      <w:r>
        <w:t>3 – Composition of formulated supplementary sports foods. Permitted forms of vitamins and minerals are also detailed in the table to sections S17–2 or S17–3, S29–17 and the amount of the vitamin or mineral in the food is no more than the amount specified in Column 2 of the table in section S29–16. Permitted amino acids used as nutritive substances are listed in the table to section S29–18 and corresponding maximum amounts specified in Column 2 of the table. Other permitted nutritive substances are set out in the table to section S29–19 and their corresponding maximum amounts specified in Column 2 of the table. In addition, section 2.9.4—3(2) sets limits on sodium and potassium.</w:t>
      </w:r>
    </w:p>
    <w:p w14:paraId="75BBC4CD" w14:textId="338B76AD" w:rsidR="4DBF8B01" w:rsidRDefault="002B5EA3" w:rsidP="4DBF8B01">
      <w:pPr>
        <w:spacing w:after="160"/>
      </w:pPr>
      <w:r>
        <w:t>There are currently no permissions for analogues or derivatives or other forms of vitamins or minerals other than those listed in the Code e.g. the Code currently permits L–alanine at a maximum amount that may be added to a one-day quantity at 1200 mg but does not permit β-</w:t>
      </w:r>
      <w:r w:rsidR="004664F1">
        <w:t>a</w:t>
      </w:r>
      <w:r>
        <w:t xml:space="preserve">lanine in any quantity. Express permission via an application to amend the Code is </w:t>
      </w:r>
      <w:r>
        <w:lastRenderedPageBreak/>
        <w:t>required to permit any analogues or derivatives of substances that are listed in the Code</w:t>
      </w:r>
      <w:r w:rsidR="008F3C73">
        <w:t xml:space="preserve"> (see section </w:t>
      </w:r>
      <w:r w:rsidR="00A159C8">
        <w:t>2</w:t>
      </w:r>
      <w:r w:rsidR="008F3C73">
        <w:t>.2.5.1</w:t>
      </w:r>
      <w:r w:rsidR="001945D5">
        <w:t xml:space="preserve"> of this consultation paper</w:t>
      </w:r>
      <w:r w:rsidR="008F3C73">
        <w:t>)</w:t>
      </w:r>
      <w:r>
        <w:t>.</w:t>
      </w:r>
    </w:p>
    <w:p w14:paraId="2932B246" w14:textId="67CE6113" w:rsidR="002B5EA3" w:rsidRDefault="002B5EA3" w:rsidP="00251931">
      <w:pPr>
        <w:pStyle w:val="Heading3"/>
      </w:pPr>
      <w:bookmarkStart w:id="51" w:name="_Toc122602223"/>
      <w:r>
        <w:t xml:space="preserve">Access and availability </w:t>
      </w:r>
      <w:bookmarkEnd w:id="51"/>
    </w:p>
    <w:p w14:paraId="7BBB1417" w14:textId="7630F73B" w:rsidR="002B5EA3" w:rsidRPr="008A3103" w:rsidRDefault="0F442772" w:rsidP="002B5EA3">
      <w:pPr>
        <w:spacing w:after="160"/>
        <w:rPr>
          <w:color w:val="000000"/>
        </w:rPr>
      </w:pPr>
      <w:r>
        <w:t>T</w:t>
      </w:r>
      <w:r w:rsidR="5ADC6E64">
        <w:t xml:space="preserve">here are no specific constraints </w:t>
      </w:r>
      <w:r w:rsidR="2B4B6681">
        <w:t xml:space="preserve">set out </w:t>
      </w:r>
      <w:r w:rsidR="75FC6D63">
        <w:t xml:space="preserve">in Standard 2.9.4 </w:t>
      </w:r>
      <w:r w:rsidR="2B4B6681">
        <w:t xml:space="preserve">for </w:t>
      </w:r>
      <w:r w:rsidR="5ADC6E64">
        <w:t xml:space="preserve">the purchase of sports foods. The increasingly easy access to and consumption of </w:t>
      </w:r>
      <w:r w:rsidR="00121B51">
        <w:t>sports foods</w:t>
      </w:r>
      <w:r w:rsidR="5ADC6E64">
        <w:t xml:space="preserve"> by the general population </w:t>
      </w:r>
      <w:r w:rsidR="735B52C0">
        <w:t>(section</w:t>
      </w:r>
      <w:r w:rsidR="16B90C6B">
        <w:t> </w:t>
      </w:r>
      <w:r w:rsidR="00A159C8">
        <w:t>3</w:t>
      </w:r>
      <w:r w:rsidR="735B52C0">
        <w:t>.2.1</w:t>
      </w:r>
      <w:r w:rsidR="16B90C6B">
        <w:t xml:space="preserve"> of this consultation paper</w:t>
      </w:r>
      <w:r w:rsidR="735B52C0">
        <w:t xml:space="preserve">) </w:t>
      </w:r>
      <w:r w:rsidR="5ADC6E64">
        <w:t xml:space="preserve">means that </w:t>
      </w:r>
      <w:r w:rsidR="3E1A7456">
        <w:t xml:space="preserve">non-target consumers and </w:t>
      </w:r>
      <w:r w:rsidR="5ADC6E64">
        <w:t xml:space="preserve">vulnerable sub-populations </w:t>
      </w:r>
      <w:r w:rsidR="0A0CD982">
        <w:t xml:space="preserve">such as children </w:t>
      </w:r>
      <w:r w:rsidR="171FFAB6">
        <w:t xml:space="preserve">and pregnant women </w:t>
      </w:r>
      <w:r w:rsidR="5ADC6E64">
        <w:t>may be accessing and consuming sports foods that are not intended for them. FSANZ has been unable to gather data on the extent of this issue to date.</w:t>
      </w:r>
    </w:p>
    <w:p w14:paraId="52FEA074" w14:textId="01099E2D" w:rsidR="002B5EA3" w:rsidRDefault="3E11A225" w:rsidP="002B5EA3">
      <w:pPr>
        <w:spacing w:after="160"/>
      </w:pPr>
      <w:r>
        <w:t>As outlined in the market</w:t>
      </w:r>
      <w:r w:rsidR="63C31F5D">
        <w:t xml:space="preserve"> overview (section </w:t>
      </w:r>
      <w:r w:rsidR="6D043EE5">
        <w:t xml:space="preserve">3 </w:t>
      </w:r>
      <w:r w:rsidR="16B90C6B">
        <w:t>of this consultation paper</w:t>
      </w:r>
      <w:r w:rsidR="63C31F5D">
        <w:t>), i</w:t>
      </w:r>
      <w:r w:rsidR="5ADC6E64">
        <w:t>nnovation</w:t>
      </w:r>
      <w:r w:rsidR="63C31F5D">
        <w:t xml:space="preserve"> and growth</w:t>
      </w:r>
      <w:r w:rsidR="5ADC6E64">
        <w:t xml:space="preserve"> </w:t>
      </w:r>
      <w:r w:rsidR="5AE6DE29">
        <w:t>are</w:t>
      </w:r>
      <w:r w:rsidR="5ADC6E64">
        <w:t xml:space="preserve"> </w:t>
      </w:r>
      <w:r w:rsidR="63C31F5D">
        <w:t>happening</w:t>
      </w:r>
      <w:r w:rsidR="5ADC6E64">
        <w:t xml:space="preserve"> quickly. The list of </w:t>
      </w:r>
      <w:r w:rsidR="63C31F5D">
        <w:t xml:space="preserve">possible </w:t>
      </w:r>
      <w:r w:rsidR="5ADC6E64">
        <w:t xml:space="preserve">novel foods and nutritive substances </w:t>
      </w:r>
      <w:r w:rsidR="63C31F5D">
        <w:t xml:space="preserve">globally </w:t>
      </w:r>
      <w:r w:rsidR="5ADC6E64">
        <w:t>is unknown but likely to be extensive, making prohibitions of high-risk substances beyond those regulated by the TGA difficult. Similarly, emerging scientific evidence may not be appropriate or adequate for determining safety and/or efficacy in the early stages</w:t>
      </w:r>
      <w:r w:rsidR="002F7AC1">
        <w:t>.</w:t>
      </w:r>
    </w:p>
    <w:p w14:paraId="52B31894" w14:textId="3059E3EE" w:rsidR="002B5EA3" w:rsidRDefault="002B5EA3" w:rsidP="002B5EA3">
      <w:pPr>
        <w:spacing w:after="160"/>
      </w:pPr>
      <w:r>
        <w:t>As noted above</w:t>
      </w:r>
      <w:r w:rsidR="00F21538">
        <w:t xml:space="preserve"> (section </w:t>
      </w:r>
      <w:r w:rsidR="00A159C8">
        <w:t>2</w:t>
      </w:r>
      <w:r w:rsidR="00F21538">
        <w:t>.3</w:t>
      </w:r>
      <w:r w:rsidR="001945D5">
        <w:t xml:space="preserve"> of this consultation paper</w:t>
      </w:r>
      <w:r w:rsidR="00F21538">
        <w:t>)</w:t>
      </w:r>
      <w:r>
        <w:t xml:space="preserve">, this is addressed in some international regulations by separating </w:t>
      </w:r>
      <w:r w:rsidR="00F21538">
        <w:t>‘</w:t>
      </w:r>
      <w:r>
        <w:t>sports related</w:t>
      </w:r>
      <w:r w:rsidR="00F21538">
        <w:t>’</w:t>
      </w:r>
      <w:r>
        <w:t xml:space="preserve"> foods into</w:t>
      </w:r>
      <w:r w:rsidR="00F21538">
        <w:t xml:space="preserve"> either</w:t>
      </w:r>
      <w:r>
        <w:t xml:space="preserve"> ‘foods for general consumption’ </w:t>
      </w:r>
      <w:r w:rsidR="00F21538">
        <w:t>or</w:t>
      </w:r>
      <w:r w:rsidR="00EC3BF6">
        <w:t xml:space="preserve"> a broader category</w:t>
      </w:r>
      <w:r>
        <w:t xml:space="preserve"> </w:t>
      </w:r>
      <w:r w:rsidR="00F21538">
        <w:t xml:space="preserve">of </w:t>
      </w:r>
      <w:r>
        <w:t xml:space="preserve">‘supplemented foods’, </w:t>
      </w:r>
      <w:r w:rsidR="00EC3BF6">
        <w:t xml:space="preserve">as opposed to regulating foods </w:t>
      </w:r>
      <w:r w:rsidR="00F21538">
        <w:t xml:space="preserve">specifically </w:t>
      </w:r>
      <w:r w:rsidR="00EC3BF6">
        <w:t>for their benefit to sporting performance.</w:t>
      </w:r>
    </w:p>
    <w:p w14:paraId="3F938329" w14:textId="43910B9A" w:rsidR="00C45049" w:rsidRPr="002F7AC1" w:rsidRDefault="002B5EA3" w:rsidP="002F7AC1">
      <w:pPr>
        <w:pStyle w:val="Heading3"/>
        <w:rPr>
          <w:rStyle w:val="eop"/>
        </w:rPr>
      </w:pPr>
      <w:bookmarkStart w:id="52" w:name="_Toc122602224"/>
      <w:r>
        <w:t>Questions</w:t>
      </w:r>
      <w:bookmarkEnd w:id="52"/>
    </w:p>
    <w:p w14:paraId="0E8237B0" w14:textId="3C32C828" w:rsidR="002B5EA3" w:rsidRPr="009A2030" w:rsidRDefault="009A2030" w:rsidP="009A2030">
      <w:pPr>
        <w:pStyle w:val="FSBullet1"/>
        <w:numPr>
          <w:ilvl w:val="0"/>
          <w:numId w:val="0"/>
        </w:numPr>
        <w:spacing w:before="120" w:after="120"/>
        <w:ind w:left="709" w:hanging="709"/>
        <w:rPr>
          <w:lang w:eastAsia="en-AU"/>
        </w:rPr>
      </w:pPr>
      <w:r>
        <w:rPr>
          <w:lang w:eastAsia="en-AU"/>
        </w:rPr>
        <w:t>Q5.</w:t>
      </w:r>
      <w:r>
        <w:rPr>
          <w:lang w:eastAsia="en-AU"/>
        </w:rPr>
        <w:tab/>
      </w:r>
      <w:r w:rsidR="5ADC6E64" w:rsidRPr="009A2030">
        <w:rPr>
          <w:lang w:eastAsia="en-AU"/>
        </w:rPr>
        <w:t>Would a tiered approach to regulation based on composition improve public health and safety for consumers, while allowing for innovation</w:t>
      </w:r>
      <w:r w:rsidR="55221F65" w:rsidRPr="009A2030">
        <w:rPr>
          <w:lang w:eastAsia="en-AU"/>
        </w:rPr>
        <w:t xml:space="preserve"> (e.g. </w:t>
      </w:r>
      <w:r w:rsidR="55221F65" w:rsidRPr="009A2030">
        <w:rPr>
          <w:lang w:val="en-AU" w:eastAsia="en-AU"/>
        </w:rPr>
        <w:t>provisions for ‘high risk’ substances, restriction on sale, differing labelling requirements</w:t>
      </w:r>
      <w:r w:rsidR="10EA7C3D" w:rsidRPr="009A2030">
        <w:rPr>
          <w:lang w:val="en-AU" w:eastAsia="en-AU"/>
        </w:rPr>
        <w:t xml:space="preserve"> or</w:t>
      </w:r>
      <w:r w:rsidR="55221F65" w:rsidRPr="009A2030">
        <w:rPr>
          <w:lang w:val="en-AU" w:eastAsia="en-AU"/>
        </w:rPr>
        <w:t xml:space="preserve"> compositional deviation)</w:t>
      </w:r>
      <w:r w:rsidR="5ADC6E64" w:rsidRPr="009A2030">
        <w:rPr>
          <w:lang w:eastAsia="en-AU"/>
        </w:rPr>
        <w:t>?</w:t>
      </w:r>
      <w:r w:rsidR="45170C36" w:rsidRPr="009A2030">
        <w:rPr>
          <w:lang w:eastAsia="en-AU"/>
        </w:rPr>
        <w:t xml:space="preserve"> If so, how </w:t>
      </w:r>
      <w:r w:rsidR="7677C60B" w:rsidRPr="009A2030">
        <w:rPr>
          <w:lang w:eastAsia="en-AU"/>
        </w:rPr>
        <w:t>c</w:t>
      </w:r>
      <w:r w:rsidR="45170C36" w:rsidRPr="009A2030">
        <w:rPr>
          <w:lang w:eastAsia="en-AU"/>
        </w:rPr>
        <w:t>ould it look?</w:t>
      </w:r>
      <w:r w:rsidR="70D50A1C" w:rsidRPr="009A2030">
        <w:rPr>
          <w:lang w:eastAsia="en-AU"/>
        </w:rPr>
        <w:t xml:space="preserve"> How could high, medium and low risk products be differentiated? What requirements could apply to each and why (e.g. pre-market assessment, compositional and labelling requirements)?</w:t>
      </w:r>
    </w:p>
    <w:p w14:paraId="349F2305" w14:textId="77A75D6A" w:rsidR="002B5EA3" w:rsidRPr="009A2030" w:rsidRDefault="009A2030" w:rsidP="009A2030">
      <w:pPr>
        <w:pStyle w:val="FSBullet1"/>
        <w:numPr>
          <w:ilvl w:val="0"/>
          <w:numId w:val="0"/>
        </w:numPr>
        <w:spacing w:before="120" w:after="120"/>
        <w:ind w:left="709" w:hanging="709"/>
        <w:rPr>
          <w:lang w:eastAsia="en-AU"/>
        </w:rPr>
      </w:pPr>
      <w:r>
        <w:rPr>
          <w:lang w:eastAsia="en-AU"/>
        </w:rPr>
        <w:t>Q6.</w:t>
      </w:r>
      <w:r>
        <w:rPr>
          <w:lang w:eastAsia="en-AU"/>
        </w:rPr>
        <w:tab/>
      </w:r>
      <w:r w:rsidR="00241BC5" w:rsidRPr="009A2030">
        <w:rPr>
          <w:lang w:eastAsia="en-AU"/>
        </w:rPr>
        <w:t>I</w:t>
      </w:r>
      <w:r w:rsidR="002B5EA3" w:rsidRPr="009A2030">
        <w:rPr>
          <w:lang w:eastAsia="en-AU"/>
        </w:rPr>
        <w:t>s there any evidence that current practice in relation to analogues and derivatives pose a health concern or risk? If you consider that there is a health concern or risk, please provide relevant details and data, where available. </w:t>
      </w:r>
    </w:p>
    <w:p w14:paraId="580F469D" w14:textId="4FAB6A1A" w:rsidR="002B5EA3" w:rsidRPr="009A2030" w:rsidRDefault="009A2030" w:rsidP="009A2030">
      <w:pPr>
        <w:pStyle w:val="FSBullet1"/>
        <w:numPr>
          <w:ilvl w:val="0"/>
          <w:numId w:val="0"/>
        </w:numPr>
        <w:spacing w:before="120" w:after="120"/>
        <w:ind w:left="709" w:hanging="709"/>
        <w:rPr>
          <w:lang w:eastAsia="en-AU"/>
        </w:rPr>
      </w:pPr>
      <w:r>
        <w:rPr>
          <w:lang w:eastAsia="en-AU"/>
        </w:rPr>
        <w:t>Q7.</w:t>
      </w:r>
      <w:r>
        <w:rPr>
          <w:lang w:eastAsia="en-AU"/>
        </w:rPr>
        <w:tab/>
      </w:r>
      <w:r w:rsidR="00E274EE" w:rsidRPr="009A2030">
        <w:rPr>
          <w:lang w:eastAsia="en-AU"/>
        </w:rPr>
        <w:t xml:space="preserve">Is </w:t>
      </w:r>
      <w:r w:rsidR="002B5EA3" w:rsidRPr="009A2030">
        <w:rPr>
          <w:lang w:eastAsia="en-AU"/>
        </w:rPr>
        <w:t>there any evidence in current research in relation to known analogues and derivates that pose a health concern or risk? If you consider that there is a health concern or risk, please provide relevant details and data, where available. </w:t>
      </w:r>
    </w:p>
    <w:p w14:paraId="04E37B6F" w14:textId="378DC097" w:rsidR="002B5EA3" w:rsidRPr="009A2030" w:rsidRDefault="009A2030" w:rsidP="009A2030">
      <w:pPr>
        <w:pStyle w:val="FSBullet1"/>
        <w:numPr>
          <w:ilvl w:val="0"/>
          <w:numId w:val="0"/>
        </w:numPr>
        <w:spacing w:before="120" w:after="120"/>
        <w:ind w:left="709" w:hanging="709"/>
        <w:rPr>
          <w:lang w:val="en-AU" w:eastAsia="en-AU"/>
        </w:rPr>
      </w:pPr>
      <w:r>
        <w:rPr>
          <w:lang w:val="en-AU" w:eastAsia="en-AU"/>
        </w:rPr>
        <w:t>Q8.</w:t>
      </w:r>
      <w:r>
        <w:rPr>
          <w:lang w:val="en-AU" w:eastAsia="en-AU"/>
        </w:rPr>
        <w:tab/>
      </w:r>
      <w:r w:rsidR="002B5EA3" w:rsidRPr="009A2030">
        <w:rPr>
          <w:lang w:val="en-AU" w:eastAsia="en-AU"/>
        </w:rPr>
        <w:t xml:space="preserve">How could the Code assist in reducing the risk to consumers who are stacking </w:t>
      </w:r>
      <w:r w:rsidR="0016465B" w:rsidRPr="009A2030">
        <w:rPr>
          <w:lang w:val="en-AU" w:eastAsia="en-AU"/>
        </w:rPr>
        <w:t xml:space="preserve">sport food </w:t>
      </w:r>
      <w:r w:rsidR="002B5EA3" w:rsidRPr="009A2030">
        <w:rPr>
          <w:lang w:val="en-AU" w:eastAsia="en-AU"/>
        </w:rPr>
        <w:t>products and potentially consuming more than the maximum amount permitted by</w:t>
      </w:r>
      <w:r w:rsidR="0016465B" w:rsidRPr="009A2030">
        <w:rPr>
          <w:lang w:val="en-AU" w:eastAsia="en-AU"/>
        </w:rPr>
        <w:t xml:space="preserve"> Standard 2.9.4 in</w:t>
      </w:r>
      <w:r w:rsidR="002B5EA3" w:rsidRPr="009A2030">
        <w:rPr>
          <w:lang w:val="en-AU" w:eastAsia="en-AU"/>
        </w:rPr>
        <w:t xml:space="preserve"> the Code?</w:t>
      </w:r>
    </w:p>
    <w:p w14:paraId="260313B6" w14:textId="1E809CC4" w:rsidR="002B5EA3" w:rsidRPr="009A2030" w:rsidRDefault="009A2030" w:rsidP="009A2030">
      <w:pPr>
        <w:pStyle w:val="FSBullet1"/>
        <w:numPr>
          <w:ilvl w:val="0"/>
          <w:numId w:val="0"/>
        </w:numPr>
        <w:spacing w:before="120" w:after="120"/>
        <w:ind w:left="709" w:hanging="709"/>
        <w:rPr>
          <w:lang w:val="en-AU" w:eastAsia="en-AU"/>
        </w:rPr>
      </w:pPr>
      <w:r>
        <w:rPr>
          <w:lang w:val="en-AU" w:eastAsia="en-AU"/>
        </w:rPr>
        <w:t>Q9.</w:t>
      </w:r>
      <w:r>
        <w:rPr>
          <w:lang w:val="en-AU" w:eastAsia="en-AU"/>
        </w:rPr>
        <w:tab/>
      </w:r>
      <w:r w:rsidR="5ADC6E64" w:rsidRPr="009A2030">
        <w:rPr>
          <w:lang w:val="en-AU" w:eastAsia="en-AU"/>
        </w:rPr>
        <w:t xml:space="preserve">To what extent are </w:t>
      </w:r>
      <w:r w:rsidR="7F46C758" w:rsidRPr="009A2030">
        <w:rPr>
          <w:lang w:val="en-AU" w:eastAsia="en-AU"/>
        </w:rPr>
        <w:t xml:space="preserve">vulnerable </w:t>
      </w:r>
      <w:r w:rsidR="5ADC6E64" w:rsidRPr="009A2030">
        <w:rPr>
          <w:lang w:val="en-AU" w:eastAsia="en-AU"/>
        </w:rPr>
        <w:t>consumers</w:t>
      </w:r>
      <w:r w:rsidR="7F46C758" w:rsidRPr="009A2030">
        <w:rPr>
          <w:lang w:val="en-AU" w:eastAsia="en-AU"/>
        </w:rPr>
        <w:t xml:space="preserve"> </w:t>
      </w:r>
      <w:r w:rsidR="5ADC6E64" w:rsidRPr="009A2030">
        <w:rPr>
          <w:lang w:val="en-AU" w:eastAsia="en-AU"/>
        </w:rPr>
        <w:t>regularly consuming sports foods?</w:t>
      </w:r>
      <w:r w:rsidR="04DBEC25" w:rsidRPr="009A2030">
        <w:rPr>
          <w:lang w:val="en-AU" w:eastAsia="en-AU"/>
        </w:rPr>
        <w:t xml:space="preserve"> Please provide evidence.</w:t>
      </w:r>
    </w:p>
    <w:p w14:paraId="376DFB13" w14:textId="609BC14D" w:rsidR="002B5EA3" w:rsidRPr="009A2030" w:rsidRDefault="009A2030" w:rsidP="009A2030">
      <w:pPr>
        <w:pStyle w:val="FSBullet1"/>
        <w:numPr>
          <w:ilvl w:val="0"/>
          <w:numId w:val="0"/>
        </w:numPr>
        <w:spacing w:before="120" w:after="120"/>
        <w:ind w:left="709" w:hanging="709"/>
        <w:rPr>
          <w:lang w:val="en-AU" w:eastAsia="en-AU"/>
        </w:rPr>
      </w:pPr>
      <w:r>
        <w:rPr>
          <w:lang w:val="en-AU" w:eastAsia="en-AU"/>
        </w:rPr>
        <w:t>Q10.</w:t>
      </w:r>
      <w:r>
        <w:rPr>
          <w:lang w:val="en-AU" w:eastAsia="en-AU"/>
        </w:rPr>
        <w:tab/>
      </w:r>
      <w:r w:rsidR="04DBEC25" w:rsidRPr="009A2030">
        <w:rPr>
          <w:lang w:val="en-AU" w:eastAsia="en-AU"/>
        </w:rPr>
        <w:t xml:space="preserve">Do the current definitions and compositional and labelling requirements in the Code relating to </w:t>
      </w:r>
      <w:r w:rsidR="00121B51">
        <w:rPr>
          <w:lang w:val="en-AU" w:eastAsia="en-AU"/>
        </w:rPr>
        <w:t>sports foods</w:t>
      </w:r>
      <w:r w:rsidR="04DBEC25" w:rsidRPr="009A2030">
        <w:rPr>
          <w:lang w:val="en-AU" w:eastAsia="en-AU"/>
        </w:rPr>
        <w:t xml:space="preserve"> pose any difficulties in compliance or enforcement? If yes, please provide reasons why and examples.</w:t>
      </w:r>
    </w:p>
    <w:p w14:paraId="55693F9C" w14:textId="093364B1" w:rsidR="002B5EA3" w:rsidRDefault="0097384E" w:rsidP="0097384E">
      <w:pPr>
        <w:pStyle w:val="Heading1"/>
      </w:pPr>
      <w:bookmarkStart w:id="53" w:name="_Toc122602225"/>
      <w:r>
        <w:t>Electrolyte drinks</w:t>
      </w:r>
      <w:bookmarkEnd w:id="53"/>
    </w:p>
    <w:p w14:paraId="13AA8BE8" w14:textId="0C552320" w:rsidR="0097384E" w:rsidRDefault="1B3291DF" w:rsidP="00324B88">
      <w:pPr>
        <w:pStyle w:val="Heading2"/>
      </w:pPr>
      <w:bookmarkStart w:id="54" w:name="_Toc122602226"/>
      <w:r>
        <w:t>R</w:t>
      </w:r>
      <w:r w:rsidR="0097384E">
        <w:t>egulation</w:t>
      </w:r>
      <w:r w:rsidR="38A5B787">
        <w:t xml:space="preserve"> of electrolyte drinks</w:t>
      </w:r>
      <w:bookmarkEnd w:id="54"/>
    </w:p>
    <w:p w14:paraId="5BD36B13" w14:textId="77777777" w:rsidR="00BE3AD0" w:rsidRPr="00BE3AD0" w:rsidRDefault="00BE3AD0" w:rsidP="00BE3AD0">
      <w:pPr>
        <w:spacing w:after="160"/>
        <w:rPr>
          <w:rFonts w:cs="Arial"/>
          <w:szCs w:val="22"/>
          <w:lang w:val="en-AU" w:eastAsia="en-AU"/>
        </w:rPr>
      </w:pPr>
      <w:r w:rsidRPr="00BE3AD0">
        <w:rPr>
          <w:rFonts w:cs="Arial"/>
          <w:szCs w:val="22"/>
          <w:lang w:val="en-AU" w:eastAsia="en-AU"/>
        </w:rPr>
        <w:t xml:space="preserve">In the Code, </w:t>
      </w:r>
      <w:r w:rsidRPr="00BE3AD0">
        <w:rPr>
          <w:rFonts w:cs="Arial"/>
          <w:b/>
          <w:bCs/>
          <w:i/>
          <w:iCs/>
          <w:color w:val="000000"/>
          <w:szCs w:val="22"/>
          <w:shd w:val="clear" w:color="auto" w:fill="FFFFFF"/>
        </w:rPr>
        <w:t>electrolyte drink </w:t>
      </w:r>
      <w:r w:rsidRPr="00BE3AD0">
        <w:rPr>
          <w:rFonts w:cs="Arial"/>
          <w:color w:val="000000"/>
          <w:szCs w:val="22"/>
          <w:shd w:val="clear" w:color="auto" w:fill="FFFFFF"/>
        </w:rPr>
        <w:t>means ‘a drink formulated for the rapid replacement of fluid, carbohydrate and electrolytes during or after 60 minutes or more of sustained strenuous physical activity’.</w:t>
      </w:r>
    </w:p>
    <w:p w14:paraId="43F13709" w14:textId="093B20E3" w:rsidR="0097384E" w:rsidRDefault="0097384E" w:rsidP="0097384E">
      <w:pPr>
        <w:spacing w:after="160"/>
        <w:rPr>
          <w:lang w:val="en-AU" w:eastAsia="en-AU"/>
        </w:rPr>
      </w:pPr>
      <w:r w:rsidRPr="273439B9">
        <w:rPr>
          <w:lang w:val="en-AU" w:eastAsia="en-AU"/>
        </w:rPr>
        <w:lastRenderedPageBreak/>
        <w:t xml:space="preserve">Standard 2.6.2 – Non-alcoholic beverages and brewed soft drinks specifies the composition and certain labelling provisions of these </w:t>
      </w:r>
      <w:bookmarkStart w:id="55" w:name="_Int_TETKuCmp"/>
      <w:r w:rsidRPr="273439B9">
        <w:rPr>
          <w:lang w:val="en-AU" w:eastAsia="en-AU"/>
        </w:rPr>
        <w:t>general purpose</w:t>
      </w:r>
      <w:bookmarkEnd w:id="55"/>
      <w:r w:rsidRPr="273439B9">
        <w:rPr>
          <w:lang w:val="en-AU" w:eastAsia="en-AU"/>
        </w:rPr>
        <w:t xml:space="preserve"> beverages, including electrolyte drinks. </w:t>
      </w:r>
    </w:p>
    <w:p w14:paraId="17D9324F" w14:textId="0C196BAD" w:rsidR="0097384E" w:rsidRPr="00B26614" w:rsidRDefault="4404C25F" w:rsidP="0097384E">
      <w:pPr>
        <w:spacing w:after="160"/>
        <w:rPr>
          <w:lang w:val="en-AU" w:eastAsia="en-AU"/>
        </w:rPr>
      </w:pPr>
      <w:r w:rsidRPr="5E7CA050">
        <w:rPr>
          <w:lang w:val="en-AU" w:eastAsia="en-AU"/>
        </w:rPr>
        <w:t>Although considered a sports food by many</w:t>
      </w:r>
      <w:r w:rsidR="00F15C4A">
        <w:rPr>
          <w:lang w:val="en-AU" w:eastAsia="en-AU"/>
        </w:rPr>
        <w:t xml:space="preserve"> and implied in the definition</w:t>
      </w:r>
      <w:r w:rsidRPr="5E7CA050">
        <w:rPr>
          <w:lang w:val="en-AU" w:eastAsia="en-AU"/>
        </w:rPr>
        <w:t xml:space="preserve">, electrolyte drinks are not currently regulated under Standard 2.9.4. The regulation of electrolyte drinks was recently </w:t>
      </w:r>
      <w:r w:rsidR="6E2E4B1F" w:rsidRPr="5E7CA050">
        <w:rPr>
          <w:lang w:val="en-AU" w:eastAsia="en-AU"/>
        </w:rPr>
        <w:t xml:space="preserve">reviewed </w:t>
      </w:r>
      <w:r w:rsidRPr="5E7CA050">
        <w:rPr>
          <w:lang w:val="en-AU" w:eastAsia="en-AU"/>
        </w:rPr>
        <w:t>through Proposal P1030, and at that time the regulation was retained under Standard 2.6.2.</w:t>
      </w:r>
    </w:p>
    <w:p w14:paraId="026BB29B" w14:textId="55A157BA" w:rsidR="0097384E" w:rsidRPr="00B26614" w:rsidRDefault="4404C25F" w:rsidP="0097384E">
      <w:pPr>
        <w:spacing w:after="160"/>
        <w:rPr>
          <w:lang w:val="en-AU" w:eastAsia="en-AU"/>
        </w:rPr>
      </w:pPr>
      <w:r w:rsidRPr="5E7CA050">
        <w:rPr>
          <w:lang w:val="en-AU" w:eastAsia="en-AU"/>
        </w:rPr>
        <w:t>Under Proposal P1030, the original draft variation to the Code</w:t>
      </w:r>
      <w:r w:rsidR="5926D1CC" w:rsidRPr="5E7CA050">
        <w:rPr>
          <w:lang w:val="en-AU" w:eastAsia="en-AU"/>
        </w:rPr>
        <w:t xml:space="preserve"> </w:t>
      </w:r>
      <w:r w:rsidRPr="5E7CA050">
        <w:rPr>
          <w:lang w:val="en-AU" w:eastAsia="en-AU"/>
        </w:rPr>
        <w:t xml:space="preserve">prepared in 2014 </w:t>
      </w:r>
      <w:r w:rsidR="7B737975" w:rsidRPr="5E7CA050">
        <w:rPr>
          <w:lang w:val="en-AU" w:eastAsia="en-AU"/>
        </w:rPr>
        <w:t xml:space="preserve">proposed </w:t>
      </w:r>
      <w:r w:rsidRPr="5E7CA050">
        <w:rPr>
          <w:lang w:val="en-AU" w:eastAsia="en-AU"/>
        </w:rPr>
        <w:t>transferr</w:t>
      </w:r>
      <w:r w:rsidR="7B737975" w:rsidRPr="5E7CA050">
        <w:rPr>
          <w:lang w:val="en-AU" w:eastAsia="en-AU"/>
        </w:rPr>
        <w:t>ing</w:t>
      </w:r>
      <w:r w:rsidRPr="5E7CA050">
        <w:rPr>
          <w:lang w:val="en-AU" w:eastAsia="en-AU"/>
        </w:rPr>
        <w:t xml:space="preserve"> the regulation of electrolyte drinks from Standard 2.6.2, a general commodity standard, to Standard 2.9.4, a special purpose food standard. This was based on FSANZ’s assessment at the time that such a transfer recognised and emphasised the products’ special purpose in accordance with the regulatory definition, while noting it was a preliminary step prior to the wider review of Standard 2.9.4. </w:t>
      </w:r>
    </w:p>
    <w:p w14:paraId="3EAAF399" w14:textId="3ADB44F4" w:rsidR="002B5EA3" w:rsidRDefault="60B2300A" w:rsidP="00324B88">
      <w:pPr>
        <w:pStyle w:val="Heading2"/>
      </w:pPr>
      <w:bookmarkStart w:id="56" w:name="_Toc122602227"/>
      <w:r>
        <w:t>Consideration of move from</w:t>
      </w:r>
      <w:r w:rsidR="006427DC">
        <w:t xml:space="preserve"> Standard</w:t>
      </w:r>
      <w:r>
        <w:t xml:space="preserve"> 2.6.2 to 2.9.4</w:t>
      </w:r>
      <w:bookmarkEnd w:id="56"/>
    </w:p>
    <w:p w14:paraId="5D405732" w14:textId="2A5C4971" w:rsidR="0097384E" w:rsidRDefault="4404C25F" w:rsidP="0097384E">
      <w:pPr>
        <w:spacing w:after="160"/>
        <w:rPr>
          <w:lang w:val="en-AU" w:eastAsia="en-AU"/>
        </w:rPr>
      </w:pPr>
      <w:r w:rsidRPr="5E7CA050">
        <w:rPr>
          <w:lang w:val="en-AU" w:eastAsia="en-AU"/>
        </w:rPr>
        <w:t>FSANZ received mixed responses</w:t>
      </w:r>
      <w:r w:rsidR="68D09991" w:rsidRPr="5E7CA050">
        <w:rPr>
          <w:lang w:val="en-AU" w:eastAsia="en-AU"/>
        </w:rPr>
        <w:t xml:space="preserve"> to this proposed variation</w:t>
      </w:r>
      <w:r w:rsidRPr="5E7CA050">
        <w:rPr>
          <w:lang w:val="en-AU" w:eastAsia="en-AU"/>
        </w:rPr>
        <w:t xml:space="preserve"> from submitters in 2014. Some submitters regarded electrolyte drinks as special purpose foods whose requirements align more closely with the existing provisions contained within Standard 2.9.4. Whereas some submitters noted that, if a special purpose food, electrolyte drinks would be </w:t>
      </w:r>
      <w:r w:rsidR="4C6EB22E" w:rsidRPr="5E7CA050">
        <w:rPr>
          <w:lang w:val="en-AU" w:eastAsia="en-AU"/>
        </w:rPr>
        <w:t xml:space="preserve">excluded </w:t>
      </w:r>
      <w:r w:rsidRPr="5E7CA050">
        <w:rPr>
          <w:lang w:val="en-AU" w:eastAsia="en-AU"/>
        </w:rPr>
        <w:t xml:space="preserve">from </w:t>
      </w:r>
      <w:r w:rsidR="4C6EB22E" w:rsidRPr="5E7CA050">
        <w:rPr>
          <w:lang w:val="en-AU" w:eastAsia="en-AU"/>
        </w:rPr>
        <w:t xml:space="preserve">the </w:t>
      </w:r>
      <w:r w:rsidRPr="5E7CA050">
        <w:rPr>
          <w:lang w:val="en-AU" w:eastAsia="en-AU"/>
        </w:rPr>
        <w:t xml:space="preserve">Health Star Rating </w:t>
      </w:r>
      <w:r w:rsidR="62F2C755" w:rsidRPr="5E7CA050">
        <w:rPr>
          <w:lang w:val="en-AU" w:eastAsia="en-AU"/>
        </w:rPr>
        <w:t xml:space="preserve">system </w:t>
      </w:r>
      <w:r w:rsidRPr="5E7CA050">
        <w:rPr>
          <w:lang w:val="en-AU" w:eastAsia="en-AU"/>
        </w:rPr>
        <w:t>and be inconsistent with current marketing and promotion approaches. Some questioned the need for transfer pending the comprehensive review of Standard 2.9.4 while one submitter noted that transfer to Standard 2.9.4 would not reflect the actual range of population usage. Submitters stressed the need for any regulatory change to be underpinned by a robust scientific evidence base.</w:t>
      </w:r>
    </w:p>
    <w:p w14:paraId="225D04B4" w14:textId="5CF06DBD" w:rsidR="00030339" w:rsidRDefault="1659EA3D" w:rsidP="00030339">
      <w:pPr>
        <w:widowControl/>
        <w:spacing w:before="120" w:after="120"/>
      </w:pPr>
      <w:bookmarkStart w:id="57" w:name="_Toc60760244"/>
      <w:bookmarkStart w:id="58" w:name="_Toc60825000"/>
      <w:r>
        <w:t xml:space="preserve">A </w:t>
      </w:r>
      <w:r w:rsidR="00030339">
        <w:t xml:space="preserve">2021 </w:t>
      </w:r>
      <w:r w:rsidR="00F17670">
        <w:t xml:space="preserve">P1030 </w:t>
      </w:r>
      <w:r w:rsidR="00030339">
        <w:t xml:space="preserve">Consultation Paper proposed amending the 2014 draft variation to retain the regulation of electrolyte drinks </w:t>
      </w:r>
      <w:r w:rsidR="00DC013C">
        <w:t>in</w:t>
      </w:r>
      <w:r w:rsidR="00030339">
        <w:t xml:space="preserve"> Standard 2.6.2.</w:t>
      </w:r>
      <w:bookmarkEnd w:id="57"/>
      <w:bookmarkEnd w:id="58"/>
      <w:r w:rsidR="00030339">
        <w:t xml:space="preserve"> It was noted</w:t>
      </w:r>
      <w:r w:rsidR="7E3005F3">
        <w:t xml:space="preserve"> that</w:t>
      </w:r>
      <w:r w:rsidR="00030339">
        <w:t xml:space="preserve"> transfer of these provisions to Standard 2.9.4 and the reclassification of electrolyte drinks as special purpose foods, if required, </w:t>
      </w:r>
      <w:r w:rsidR="55107CC4">
        <w:t xml:space="preserve">could </w:t>
      </w:r>
      <w:r w:rsidR="00030339">
        <w:t xml:space="preserve">be further considered as part of the review of sports foods (Proposal P1010). </w:t>
      </w:r>
    </w:p>
    <w:p w14:paraId="3C1F9327" w14:textId="127FDB81" w:rsidR="00030339" w:rsidRPr="00B04E9D" w:rsidRDefault="00030339" w:rsidP="00B04E9D">
      <w:pPr>
        <w:widowControl/>
        <w:spacing w:before="120" w:after="120"/>
      </w:pPr>
      <w:r>
        <w:t>In responding to the 2021 Consultation Paper</w:t>
      </w:r>
      <w:r w:rsidR="001B585A">
        <w:t xml:space="preserve"> for P1030</w:t>
      </w:r>
      <w:r>
        <w:t xml:space="preserve">, the industry sector, with the exception of one submitter, supported the retention of electrolyte drinks within Standard 2.6.2. Submitters representing the public health sector also supported the continuation of the regulation of electrolyte drinks under Standard 2.6.2, while acknowledging a move to Standard 2.9.4 </w:t>
      </w:r>
      <w:r w:rsidR="0060234B">
        <w:t>could</w:t>
      </w:r>
      <w:r>
        <w:t xml:space="preserve"> be further considered under Proposal P1010. In contrast, comments received from government submitters were not supportive of the proposed approach, and requested electrolyte drink provisions be aligned with Standard 2.9.4. </w:t>
      </w:r>
    </w:p>
    <w:p w14:paraId="2184015F" w14:textId="7F79E0E0" w:rsidR="001B585A" w:rsidRDefault="19015997" w:rsidP="001B585A">
      <w:r>
        <w:t xml:space="preserve">After consideration of submissions, FSANZ’s position remained that Standard 2.6.2 </w:t>
      </w:r>
      <w:r w:rsidR="0F56B7D2">
        <w:t xml:space="preserve">was </w:t>
      </w:r>
      <w:r>
        <w:t>the appropriate location in the Code for electrolyte drink permissions at th</w:t>
      </w:r>
      <w:r w:rsidR="1170ADF1">
        <w:t xml:space="preserve">at </w:t>
      </w:r>
      <w:r>
        <w:t xml:space="preserve">time. As noted above, transfer to Standard 2.9.4 and reclassification of electrolyte drinks as special purpose foods as part of Proposal P1010 remains an option. </w:t>
      </w:r>
    </w:p>
    <w:p w14:paraId="70F6259A" w14:textId="5F71883A" w:rsidR="0097384E" w:rsidRDefault="0097384E" w:rsidP="00324B88">
      <w:pPr>
        <w:pStyle w:val="Heading2"/>
      </w:pPr>
      <w:bookmarkStart w:id="59" w:name="_Toc122602228"/>
      <w:r>
        <w:t>Questions</w:t>
      </w:r>
      <w:bookmarkEnd w:id="59"/>
    </w:p>
    <w:p w14:paraId="4F2BEFD7" w14:textId="4D0AD4C2" w:rsidR="0097384E" w:rsidRPr="009A2030" w:rsidRDefault="009A2030" w:rsidP="009A2030">
      <w:pPr>
        <w:pStyle w:val="FSBullet1"/>
        <w:numPr>
          <w:ilvl w:val="0"/>
          <w:numId w:val="0"/>
        </w:numPr>
        <w:spacing w:before="120" w:after="120"/>
        <w:ind w:left="709" w:hanging="709"/>
        <w:rPr>
          <w:lang w:eastAsia="en-AU"/>
        </w:rPr>
      </w:pPr>
      <w:r>
        <w:rPr>
          <w:lang w:eastAsia="en-AU"/>
        </w:rPr>
        <w:t>Q11.</w:t>
      </w:r>
      <w:r>
        <w:rPr>
          <w:lang w:eastAsia="en-AU"/>
        </w:rPr>
        <w:tab/>
      </w:r>
      <w:r w:rsidR="0097384E" w:rsidRPr="009A2030">
        <w:rPr>
          <w:lang w:eastAsia="en-AU"/>
        </w:rPr>
        <w:t>If</w:t>
      </w:r>
      <w:r w:rsidR="00626433" w:rsidRPr="009A2030">
        <w:rPr>
          <w:lang w:eastAsia="en-AU"/>
        </w:rPr>
        <w:t xml:space="preserve"> the existing requirements for</w:t>
      </w:r>
      <w:r w:rsidR="0097384E" w:rsidRPr="009A2030">
        <w:rPr>
          <w:lang w:eastAsia="en-AU"/>
        </w:rPr>
        <w:t xml:space="preserve"> electrolyte drinks were </w:t>
      </w:r>
      <w:r w:rsidR="00626433" w:rsidRPr="009A2030">
        <w:rPr>
          <w:lang w:eastAsia="en-AU"/>
        </w:rPr>
        <w:t xml:space="preserve">transferred </w:t>
      </w:r>
      <w:r w:rsidR="00ED4C94" w:rsidRPr="009A2030">
        <w:rPr>
          <w:lang w:eastAsia="en-AU"/>
        </w:rPr>
        <w:t xml:space="preserve">to </w:t>
      </w:r>
      <w:r w:rsidR="0097384E" w:rsidRPr="009A2030">
        <w:rPr>
          <w:lang w:eastAsia="en-AU"/>
        </w:rPr>
        <w:t>a special purpose food</w:t>
      </w:r>
      <w:r w:rsidR="00626433" w:rsidRPr="009A2030">
        <w:rPr>
          <w:lang w:eastAsia="en-AU"/>
        </w:rPr>
        <w:t xml:space="preserve"> standard</w:t>
      </w:r>
      <w:r w:rsidR="0097384E" w:rsidRPr="009A2030">
        <w:rPr>
          <w:lang w:eastAsia="en-AU"/>
        </w:rPr>
        <w:t xml:space="preserve"> (</w:t>
      </w:r>
      <w:r w:rsidR="00626433" w:rsidRPr="009A2030">
        <w:rPr>
          <w:lang w:eastAsia="en-AU"/>
        </w:rPr>
        <w:t>i.e. under</w:t>
      </w:r>
      <w:r w:rsidR="0097384E" w:rsidRPr="009A2030">
        <w:rPr>
          <w:lang w:eastAsia="en-AU"/>
        </w:rPr>
        <w:t xml:space="preserve"> Standard 2.9.4)</w:t>
      </w:r>
      <w:r w:rsidR="00ED4C94" w:rsidRPr="009A2030">
        <w:rPr>
          <w:lang w:eastAsia="en-AU"/>
        </w:rPr>
        <w:t>,</w:t>
      </w:r>
      <w:r w:rsidR="0097384E" w:rsidRPr="009A2030">
        <w:rPr>
          <w:lang w:eastAsia="en-AU"/>
        </w:rPr>
        <w:t xml:space="preserve"> what impacts (positive or negative) might this have on industry, regulators and</w:t>
      </w:r>
      <w:r w:rsidR="007312F4" w:rsidRPr="009A2030">
        <w:rPr>
          <w:lang w:eastAsia="en-AU"/>
        </w:rPr>
        <w:t>/or</w:t>
      </w:r>
      <w:r w:rsidR="0097384E" w:rsidRPr="009A2030">
        <w:rPr>
          <w:lang w:eastAsia="en-AU"/>
        </w:rPr>
        <w:t xml:space="preserve"> consumers?</w:t>
      </w:r>
      <w:r w:rsidR="59D77710" w:rsidRPr="009A2030">
        <w:rPr>
          <w:lang w:eastAsia="en-AU"/>
        </w:rPr>
        <w:t xml:space="preserve"> </w:t>
      </w:r>
    </w:p>
    <w:p w14:paraId="639CF1E8" w14:textId="6BCD38B9" w:rsidR="0097384E" w:rsidRPr="009A2030" w:rsidRDefault="009A2030" w:rsidP="009A2030">
      <w:pPr>
        <w:pStyle w:val="FSBullet1"/>
        <w:numPr>
          <w:ilvl w:val="0"/>
          <w:numId w:val="0"/>
        </w:numPr>
        <w:spacing w:before="120" w:after="120"/>
        <w:ind w:left="709" w:hanging="709"/>
        <w:rPr>
          <w:lang w:eastAsia="en-AU"/>
        </w:rPr>
      </w:pPr>
      <w:r>
        <w:rPr>
          <w:lang w:eastAsia="en-AU"/>
        </w:rPr>
        <w:t>Q12.</w:t>
      </w:r>
      <w:r>
        <w:rPr>
          <w:lang w:eastAsia="en-AU"/>
        </w:rPr>
        <w:tab/>
      </w:r>
      <w:r w:rsidR="0097384E" w:rsidRPr="009A2030">
        <w:rPr>
          <w:lang w:eastAsia="en-AU"/>
        </w:rPr>
        <w:t>If electrolyte drinks were to remain a general purpose food (</w:t>
      </w:r>
      <w:r w:rsidR="00626433" w:rsidRPr="009A2030">
        <w:rPr>
          <w:lang w:eastAsia="en-AU"/>
        </w:rPr>
        <w:t xml:space="preserve">i.e. </w:t>
      </w:r>
      <w:r w:rsidR="0097384E" w:rsidRPr="009A2030">
        <w:rPr>
          <w:lang w:eastAsia="en-AU"/>
        </w:rPr>
        <w:t>under Standard 2.6.2) what impacts (positive or negative) would this have on industry, regulators and</w:t>
      </w:r>
      <w:r w:rsidR="00F26F0E" w:rsidRPr="009A2030">
        <w:rPr>
          <w:lang w:eastAsia="en-AU"/>
        </w:rPr>
        <w:t>/or</w:t>
      </w:r>
      <w:r w:rsidR="0097384E" w:rsidRPr="009A2030">
        <w:rPr>
          <w:lang w:eastAsia="en-AU"/>
        </w:rPr>
        <w:t xml:space="preserve"> consumers?</w:t>
      </w:r>
    </w:p>
    <w:p w14:paraId="712E87F7" w14:textId="62826C00" w:rsidR="0097384E" w:rsidRPr="009A2030" w:rsidRDefault="009A2030" w:rsidP="009A2030">
      <w:pPr>
        <w:pStyle w:val="FSBullet1"/>
        <w:numPr>
          <w:ilvl w:val="0"/>
          <w:numId w:val="0"/>
        </w:numPr>
        <w:spacing w:before="120" w:after="120"/>
        <w:ind w:left="709" w:hanging="709"/>
        <w:rPr>
          <w:lang w:eastAsia="en-AU"/>
        </w:rPr>
      </w:pPr>
      <w:r>
        <w:rPr>
          <w:lang w:eastAsia="en-AU"/>
        </w:rPr>
        <w:lastRenderedPageBreak/>
        <w:t>Q13.</w:t>
      </w:r>
      <w:r>
        <w:rPr>
          <w:lang w:eastAsia="en-AU"/>
        </w:rPr>
        <w:tab/>
      </w:r>
      <w:r w:rsidR="0097384E" w:rsidRPr="009A2030">
        <w:rPr>
          <w:lang w:eastAsia="en-AU"/>
        </w:rPr>
        <w:t xml:space="preserve">How would transferring electrolyte drinks to Standard 2.9.4 impact consumer messaging around their purpose and use? </w:t>
      </w:r>
      <w:r w:rsidR="00F7669B" w:rsidRPr="009A2030">
        <w:rPr>
          <w:lang w:eastAsia="en-AU"/>
        </w:rPr>
        <w:t>Please provide reasons for your view.</w:t>
      </w:r>
      <w:r w:rsidR="0097384E" w:rsidRPr="009A2030">
        <w:rPr>
          <w:lang w:eastAsia="en-AU"/>
        </w:rPr>
        <w:t xml:space="preserve"> </w:t>
      </w:r>
    </w:p>
    <w:p w14:paraId="57780F5F" w14:textId="7655E291" w:rsidR="0097384E" w:rsidRDefault="00193796" w:rsidP="00193796">
      <w:pPr>
        <w:pStyle w:val="Heading1"/>
      </w:pPr>
      <w:bookmarkStart w:id="60" w:name="_Toc122602229"/>
      <w:r>
        <w:t>Labelling</w:t>
      </w:r>
      <w:bookmarkEnd w:id="60"/>
    </w:p>
    <w:p w14:paraId="57E1CE0F" w14:textId="1FD60855" w:rsidR="00193796" w:rsidRDefault="00193796" w:rsidP="00324B88">
      <w:pPr>
        <w:pStyle w:val="Heading2"/>
      </w:pPr>
      <w:bookmarkStart w:id="61" w:name="_Toc122602230"/>
      <w:r>
        <w:t>Current regulations</w:t>
      </w:r>
      <w:bookmarkEnd w:id="61"/>
    </w:p>
    <w:p w14:paraId="06D8A5E7" w14:textId="4E63DE29" w:rsidR="00193796" w:rsidRPr="00E27868" w:rsidRDefault="00193796" w:rsidP="00193796">
      <w:pPr>
        <w:spacing w:after="160"/>
      </w:pPr>
      <w:r>
        <w:t xml:space="preserve">Food labelling can be used to manage potential risks to public health and safety. It also provides information to enable consumers </w:t>
      </w:r>
      <w:r w:rsidR="00DABE5C">
        <w:t xml:space="preserve">to </w:t>
      </w:r>
      <w:r>
        <w:t xml:space="preserve">make informed choices. Similar to most other foods, </w:t>
      </w:r>
      <w:r w:rsidR="00121B51">
        <w:t>sports foods</w:t>
      </w:r>
      <w:r>
        <w:t xml:space="preserve"> are subject to generic labelling requirements in the Code, unless exempt or where specific requirements apply. Under P1010, FSANZ will consider the application of the generic labelling requirements in the Code to </w:t>
      </w:r>
      <w:r w:rsidR="00121B51">
        <w:t>sports foods</w:t>
      </w:r>
      <w:r>
        <w:t xml:space="preserve">. Specific labelling issues for the protection of public health and safety and informed choice of relevance to </w:t>
      </w:r>
      <w:r w:rsidR="00121B51">
        <w:t>sports foods</w:t>
      </w:r>
      <w:r>
        <w:t xml:space="preserve"> are outlined below. </w:t>
      </w:r>
    </w:p>
    <w:p w14:paraId="710A737A" w14:textId="18758300" w:rsidR="00193796" w:rsidRDefault="00193796" w:rsidP="00251931">
      <w:pPr>
        <w:pStyle w:val="Heading3"/>
      </w:pPr>
      <w:bookmarkStart w:id="62" w:name="_Toc122602231"/>
      <w:r>
        <w:t>Prescribed name</w:t>
      </w:r>
      <w:bookmarkEnd w:id="62"/>
    </w:p>
    <w:p w14:paraId="6F2F624D" w14:textId="56A21BBA" w:rsidR="00193796" w:rsidRDefault="00193796" w:rsidP="00193796">
      <w:pPr>
        <w:spacing w:after="160"/>
        <w:rPr>
          <w:lang w:eastAsia="en-AU"/>
        </w:rPr>
      </w:pPr>
      <w:r>
        <w:rPr>
          <w:lang w:eastAsia="en-AU"/>
        </w:rPr>
        <w:t>In accordance with subsections 1.2.2</w:t>
      </w:r>
      <w:r w:rsidRPr="00593C41">
        <w:rPr>
          <w:rFonts w:eastAsia="Arial"/>
          <w:color w:val="000000" w:themeColor="text1"/>
          <w:lang w:val="en-NZ"/>
        </w:rPr>
        <w:t>—</w:t>
      </w:r>
      <w:r>
        <w:rPr>
          <w:rFonts w:eastAsia="Arial"/>
          <w:color w:val="000000" w:themeColor="text1"/>
          <w:lang w:val="en-NZ"/>
        </w:rPr>
        <w:t xml:space="preserve">2(1) and </w:t>
      </w:r>
      <w:r w:rsidRPr="00593C41">
        <w:rPr>
          <w:rFonts w:eastAsia="Arial"/>
          <w:color w:val="000000" w:themeColor="text1"/>
          <w:lang w:val="en-NZ"/>
        </w:rPr>
        <w:t>2.9.4—4</w:t>
      </w:r>
      <w:r>
        <w:rPr>
          <w:rFonts w:eastAsia="Arial"/>
          <w:color w:val="000000" w:themeColor="text1"/>
          <w:lang w:val="en-NZ"/>
        </w:rPr>
        <w:t xml:space="preserve">(2), </w:t>
      </w:r>
      <w:r w:rsidR="00121B51">
        <w:rPr>
          <w:rFonts w:eastAsia="Arial"/>
          <w:color w:val="000000" w:themeColor="text1"/>
          <w:lang w:val="en-NZ"/>
        </w:rPr>
        <w:t>sports foods</w:t>
      </w:r>
      <w:r>
        <w:rPr>
          <w:rFonts w:eastAsia="Arial"/>
          <w:color w:val="000000" w:themeColor="text1"/>
          <w:lang w:val="en-NZ"/>
        </w:rPr>
        <w:t xml:space="preserve"> are required to be labelled with the prescribed name ‘formulated supplementary sports food’. </w:t>
      </w:r>
    </w:p>
    <w:p w14:paraId="7A6FA1E4" w14:textId="52343991" w:rsidR="00193796" w:rsidRDefault="00193796" w:rsidP="00251931">
      <w:pPr>
        <w:pStyle w:val="Heading3"/>
      </w:pPr>
      <w:bookmarkStart w:id="63" w:name="_Toc122602232"/>
      <w:r>
        <w:t>Directions for use</w:t>
      </w:r>
      <w:bookmarkEnd w:id="63"/>
    </w:p>
    <w:p w14:paraId="57181FBC" w14:textId="469B0575" w:rsidR="00193796" w:rsidRDefault="00193796" w:rsidP="00193796">
      <w:pPr>
        <w:spacing w:after="160"/>
        <w:rPr>
          <w:lang w:eastAsia="en-AU"/>
        </w:rPr>
      </w:pPr>
      <w:r w:rsidRPr="46DBC1C2">
        <w:rPr>
          <w:lang w:eastAsia="en-AU"/>
        </w:rPr>
        <w:t xml:space="preserve">Information requirements for directions of use, storage and frequency of intake of </w:t>
      </w:r>
      <w:r w:rsidR="00121B51">
        <w:rPr>
          <w:lang w:eastAsia="en-AU"/>
        </w:rPr>
        <w:t>sports foods</w:t>
      </w:r>
      <w:r w:rsidRPr="46DBC1C2">
        <w:rPr>
          <w:lang w:eastAsia="en-AU"/>
        </w:rPr>
        <w:t xml:space="preserve"> are regulated by Standard 1.2.6 and Standard 2.9.4 of the Code</w:t>
      </w:r>
      <w:r w:rsidR="001C4931">
        <w:rPr>
          <w:lang w:eastAsia="en-AU"/>
        </w:rPr>
        <w:t>,</w:t>
      </w:r>
      <w:r w:rsidR="001C4931" w:rsidRPr="001C4931">
        <w:rPr>
          <w:lang w:eastAsia="en-AU"/>
        </w:rPr>
        <w:t xml:space="preserve"> </w:t>
      </w:r>
      <w:r w:rsidR="001C4931">
        <w:rPr>
          <w:lang w:eastAsia="en-AU"/>
        </w:rPr>
        <w:t>respectively</w:t>
      </w:r>
      <w:r w:rsidRPr="46DBC1C2">
        <w:rPr>
          <w:lang w:eastAsia="en-AU"/>
        </w:rPr>
        <w:t>.</w:t>
      </w:r>
    </w:p>
    <w:p w14:paraId="5386611D" w14:textId="6E71282F" w:rsidR="00193796" w:rsidRDefault="00193796" w:rsidP="00193796">
      <w:pPr>
        <w:spacing w:after="160"/>
        <w:rPr>
          <w:lang w:eastAsia="en-AU"/>
        </w:rPr>
      </w:pPr>
      <w:r w:rsidRPr="273439B9">
        <w:rPr>
          <w:lang w:eastAsia="en-AU"/>
        </w:rPr>
        <w:t>Section 1.2.6</w:t>
      </w:r>
      <w:r w:rsidRPr="273439B9">
        <w:rPr>
          <w:color w:val="000000" w:themeColor="text1"/>
        </w:rPr>
        <w:t>—</w:t>
      </w:r>
      <w:r w:rsidRPr="273439B9">
        <w:rPr>
          <w:lang w:eastAsia="en-AU"/>
        </w:rPr>
        <w:t>2 sets outs the information requirements for directions for use and storage condition</w:t>
      </w:r>
      <w:r w:rsidR="7CCF9EBD" w:rsidRPr="273439B9">
        <w:rPr>
          <w:lang w:eastAsia="en-AU"/>
        </w:rPr>
        <w:t>s</w:t>
      </w:r>
      <w:r w:rsidRPr="273439B9">
        <w:rPr>
          <w:lang w:eastAsia="en-AU"/>
        </w:rPr>
        <w:t xml:space="preserve"> of food for sale. This includes the requirement to provide details of the storage conditions, if these conditions are necessary to ensure the food will keep until the use by or best before date; or if the food must be used or stored in accordance with certain directions for health or safety reasons</w:t>
      </w:r>
      <w:r w:rsidR="39190D29" w:rsidRPr="273439B9">
        <w:rPr>
          <w:lang w:eastAsia="en-AU"/>
        </w:rPr>
        <w:t xml:space="preserve">. </w:t>
      </w:r>
    </w:p>
    <w:p w14:paraId="38915C06" w14:textId="29C9393D" w:rsidR="00193796" w:rsidRPr="00193796" w:rsidRDefault="00193796" w:rsidP="00193796">
      <w:pPr>
        <w:spacing w:after="160"/>
        <w:rPr>
          <w:rFonts w:eastAsia="Arial"/>
          <w:color w:val="000000" w:themeColor="text1"/>
          <w:lang w:val="en-NZ"/>
        </w:rPr>
      </w:pPr>
      <w:r>
        <w:rPr>
          <w:rFonts w:eastAsia="Arial"/>
          <w:color w:val="000000" w:themeColor="text1"/>
          <w:lang w:val="en-NZ"/>
        </w:rPr>
        <w:t xml:space="preserve">In accordance with </w:t>
      </w:r>
      <w:r w:rsidRPr="00593C41">
        <w:t xml:space="preserve">Section </w:t>
      </w:r>
      <w:r w:rsidRPr="00593C41">
        <w:rPr>
          <w:rFonts w:eastAsia="Arial"/>
          <w:color w:val="000000" w:themeColor="text1"/>
          <w:lang w:val="en-NZ"/>
        </w:rPr>
        <w:t>2.9.4—4</w:t>
      </w:r>
      <w:r>
        <w:rPr>
          <w:rFonts w:eastAsia="Arial"/>
          <w:color w:val="000000" w:themeColor="text1"/>
          <w:lang w:val="en-NZ"/>
        </w:rPr>
        <w:t xml:space="preserve">, the label of a </w:t>
      </w:r>
      <w:r w:rsidR="00121B51">
        <w:rPr>
          <w:rFonts w:eastAsia="Arial"/>
          <w:color w:val="000000" w:themeColor="text1"/>
          <w:lang w:val="en-NZ"/>
        </w:rPr>
        <w:t>sports food</w:t>
      </w:r>
      <w:r>
        <w:rPr>
          <w:rFonts w:eastAsia="Arial"/>
          <w:color w:val="000000" w:themeColor="text1"/>
          <w:lang w:val="en-NZ"/>
        </w:rPr>
        <w:t xml:space="preserve"> must also include </w:t>
      </w:r>
      <w:r w:rsidRPr="00465F54">
        <w:rPr>
          <w:i/>
        </w:rPr>
        <w:t>directions</w:t>
      </w:r>
      <w:r w:rsidRPr="00465F54">
        <w:rPr>
          <w:rFonts w:eastAsiaTheme="minorEastAsia"/>
          <w:i/>
        </w:rPr>
        <w:t xml:space="preserve"> stating the recommended amount and frequency of intake of the food </w:t>
      </w:r>
      <w:r w:rsidRPr="00593C41">
        <w:rPr>
          <w:rFonts w:eastAsiaTheme="minorEastAsia"/>
        </w:rPr>
        <w:t xml:space="preserve">and </w:t>
      </w:r>
      <w:r w:rsidRPr="00465F54">
        <w:rPr>
          <w:rFonts w:eastAsiaTheme="minorEastAsia"/>
          <w:i/>
        </w:rPr>
        <w:t xml:space="preserve">a </w:t>
      </w:r>
      <w:r w:rsidRPr="00465F54">
        <w:rPr>
          <w:i/>
        </w:rPr>
        <w:t>statement</w:t>
      </w:r>
      <w:r w:rsidRPr="00465F54">
        <w:rPr>
          <w:rFonts w:eastAsiaTheme="minorEastAsia"/>
          <w:i/>
        </w:rPr>
        <w:t xml:space="preserve"> of the recommended consumption in one day</w:t>
      </w:r>
      <w:r w:rsidRPr="00465F54">
        <w:rPr>
          <w:rFonts w:eastAsiaTheme="minorEastAsia"/>
        </w:rPr>
        <w:t>.</w:t>
      </w:r>
    </w:p>
    <w:p w14:paraId="0EFF1101" w14:textId="0FB5F2A5" w:rsidR="00193796" w:rsidRDefault="00193796" w:rsidP="00251931">
      <w:pPr>
        <w:pStyle w:val="Heading3"/>
      </w:pPr>
      <w:bookmarkStart w:id="64" w:name="_Toc122602233"/>
      <w:r>
        <w:t>Warning and advisory statements</w:t>
      </w:r>
      <w:bookmarkEnd w:id="64"/>
    </w:p>
    <w:p w14:paraId="764E3717" w14:textId="1216223B" w:rsidR="00193796" w:rsidRDefault="00193796" w:rsidP="00193796">
      <w:pPr>
        <w:pStyle w:val="FSBullet1"/>
        <w:numPr>
          <w:ilvl w:val="0"/>
          <w:numId w:val="0"/>
        </w:numPr>
        <w:spacing w:after="160"/>
        <w:rPr>
          <w:lang w:eastAsia="en-NZ"/>
        </w:rPr>
      </w:pPr>
      <w:r w:rsidRPr="273439B9">
        <w:rPr>
          <w:lang w:eastAsia="en-NZ"/>
        </w:rPr>
        <w:t xml:space="preserve">Standard 1.2.3 and Schedule 9 include labelling requirements for warning and advisory statements. These statements are required if relevant to the product </w:t>
      </w:r>
      <w:r w:rsidR="76D4A3B0" w:rsidRPr="273439B9">
        <w:rPr>
          <w:lang w:eastAsia="en-NZ"/>
        </w:rPr>
        <w:t>e.g.,</w:t>
      </w:r>
      <w:r w:rsidRPr="273439B9">
        <w:rPr>
          <w:lang w:eastAsia="en-NZ"/>
        </w:rPr>
        <w:t xml:space="preserve"> a product that contains bee pollen must include an advisory statement that ‘the product contains bee pollen which can cause severe allergic </w:t>
      </w:r>
      <w:bookmarkStart w:id="65" w:name="_Int_gUUXzK59"/>
      <w:r w:rsidRPr="273439B9">
        <w:rPr>
          <w:lang w:eastAsia="en-NZ"/>
        </w:rPr>
        <w:t>reactions’</w:t>
      </w:r>
      <w:bookmarkEnd w:id="65"/>
      <w:r w:rsidRPr="273439B9">
        <w:rPr>
          <w:lang w:eastAsia="en-NZ"/>
        </w:rPr>
        <w:t xml:space="preserve">. </w:t>
      </w:r>
    </w:p>
    <w:p w14:paraId="31A466E4" w14:textId="0320579C" w:rsidR="00193796" w:rsidRDefault="00193796" w:rsidP="00193796">
      <w:pPr>
        <w:spacing w:after="160"/>
        <w:rPr>
          <w:rFonts w:eastAsia="Arial"/>
          <w:color w:val="000000" w:themeColor="text1"/>
          <w:lang w:val="en-NZ"/>
        </w:rPr>
      </w:pPr>
      <w:r>
        <w:t xml:space="preserve">Section </w:t>
      </w:r>
      <w:r w:rsidRPr="273439B9">
        <w:rPr>
          <w:rFonts w:eastAsia="Arial"/>
          <w:color w:val="000000" w:themeColor="text1"/>
          <w:lang w:val="en-NZ"/>
        </w:rPr>
        <w:t>2.9.4—4</w:t>
      </w:r>
      <w:r>
        <w:t xml:space="preserve"> requires</w:t>
      </w:r>
      <w:r w:rsidRPr="273439B9">
        <w:rPr>
          <w:rFonts w:eastAsia="Arial"/>
          <w:color w:val="000000" w:themeColor="text1"/>
          <w:lang w:val="en-NZ"/>
        </w:rPr>
        <w:t xml:space="preserve"> the label of a </w:t>
      </w:r>
      <w:r w:rsidR="00121B51">
        <w:rPr>
          <w:rFonts w:eastAsia="Arial"/>
          <w:color w:val="000000" w:themeColor="text1"/>
          <w:lang w:val="en-NZ"/>
        </w:rPr>
        <w:t>sports food</w:t>
      </w:r>
      <w:r w:rsidRPr="273439B9">
        <w:rPr>
          <w:rFonts w:eastAsia="Arial"/>
          <w:color w:val="000000" w:themeColor="text1"/>
          <w:lang w:val="en-NZ"/>
        </w:rPr>
        <w:t xml:space="preserve"> to include the following required statements:</w:t>
      </w:r>
    </w:p>
    <w:p w14:paraId="0B0C0449" w14:textId="77777777" w:rsidR="00193796" w:rsidRPr="00593C41" w:rsidRDefault="00193796" w:rsidP="00193796">
      <w:pPr>
        <w:pStyle w:val="FSBullet1"/>
        <w:numPr>
          <w:ilvl w:val="0"/>
          <w:numId w:val="14"/>
        </w:numPr>
        <w:spacing w:line="259" w:lineRule="auto"/>
      </w:pPr>
      <w:r>
        <w:t>a statement to the effect that the food is not a sole source of nutrition and should be consumed in conjunction with a nutritious diet; and</w:t>
      </w:r>
    </w:p>
    <w:p w14:paraId="670D149F" w14:textId="77777777" w:rsidR="00193796" w:rsidRPr="00593C41" w:rsidRDefault="00193796" w:rsidP="00193796">
      <w:pPr>
        <w:pStyle w:val="FSBullet1"/>
        <w:numPr>
          <w:ilvl w:val="0"/>
          <w:numId w:val="14"/>
        </w:numPr>
        <w:spacing w:line="259" w:lineRule="auto"/>
      </w:pPr>
      <w:r>
        <w:t xml:space="preserve">a statement to the </w:t>
      </w:r>
      <w:r w:rsidRPr="273439B9">
        <w:rPr>
          <w:rFonts w:eastAsiaTheme="minorEastAsia"/>
        </w:rPr>
        <w:t>effect</w:t>
      </w:r>
      <w:r>
        <w:t xml:space="preserve"> that the food should be used in conjunction with an appropriate physical training or exercise program; and </w:t>
      </w:r>
    </w:p>
    <w:p w14:paraId="7BDD0920" w14:textId="77777777" w:rsidR="00193796" w:rsidRPr="00593C41" w:rsidRDefault="00193796" w:rsidP="00193796">
      <w:pPr>
        <w:pStyle w:val="FSBullet1"/>
        <w:numPr>
          <w:ilvl w:val="0"/>
          <w:numId w:val="14"/>
        </w:numPr>
        <w:spacing w:line="259" w:lineRule="auto"/>
      </w:pPr>
      <w:r>
        <w:t>the *</w:t>
      </w:r>
      <w:r w:rsidRPr="273439B9">
        <w:rPr>
          <w:rFonts w:eastAsiaTheme="minorEastAsia"/>
        </w:rPr>
        <w:t>warning</w:t>
      </w:r>
      <w:r>
        <w:t xml:space="preserve"> </w:t>
      </w:r>
      <w:r w:rsidRPr="273439B9">
        <w:rPr>
          <w:rFonts w:eastAsiaTheme="minorEastAsia"/>
        </w:rPr>
        <w:t>statement</w:t>
      </w:r>
      <w:r>
        <w:t xml:space="preserve"> ‘Not suitable for children under 15 years of age or pregnant women: Should only be used under medical or dietetic supervision’; and </w:t>
      </w:r>
    </w:p>
    <w:p w14:paraId="69B40A02" w14:textId="77777777" w:rsidR="00193796" w:rsidRPr="00593C41" w:rsidRDefault="00193796" w:rsidP="00193796">
      <w:pPr>
        <w:pStyle w:val="FSBullet1"/>
        <w:numPr>
          <w:ilvl w:val="0"/>
          <w:numId w:val="14"/>
        </w:numPr>
        <w:spacing w:after="160" w:line="259" w:lineRule="auto"/>
      </w:pPr>
      <w:r>
        <w:t xml:space="preserve">if the food </w:t>
      </w:r>
      <w:r w:rsidRPr="273439B9">
        <w:rPr>
          <w:rFonts w:eastAsiaTheme="minorEastAsia"/>
        </w:rPr>
        <w:t>contains</w:t>
      </w:r>
      <w:r>
        <w:t xml:space="preserve"> added phenylalanine—the warning statement ‘</w:t>
      </w:r>
      <w:proofErr w:type="spellStart"/>
      <w:r>
        <w:t>Phenylketonurics</w:t>
      </w:r>
      <w:proofErr w:type="spellEnd"/>
      <w:r>
        <w:t>: Contains phenylalanine’</w:t>
      </w:r>
    </w:p>
    <w:p w14:paraId="43C6A347" w14:textId="059D34CA" w:rsidR="00193796" w:rsidRDefault="69D19DB0" w:rsidP="00193796">
      <w:pPr>
        <w:pStyle w:val="FSBullet1"/>
        <w:numPr>
          <w:ilvl w:val="0"/>
          <w:numId w:val="0"/>
        </w:numPr>
        <w:spacing w:after="160"/>
        <w:rPr>
          <w:lang w:eastAsia="en-NZ"/>
        </w:rPr>
      </w:pPr>
      <w:r w:rsidRPr="5E7CA050">
        <w:rPr>
          <w:lang w:eastAsia="en-NZ"/>
        </w:rPr>
        <w:lastRenderedPageBreak/>
        <w:t xml:space="preserve">Division 3 of Standard 2.9.4 requires products that meet one of three types of compositional specifications (high carbohydrate supplement, protein energy supplement, or energy supplement) to include statements regarding their consumption </w:t>
      </w:r>
      <w:r w:rsidR="148BCC32" w:rsidRPr="5E7CA050">
        <w:rPr>
          <w:lang w:eastAsia="en-NZ"/>
        </w:rPr>
        <w:t>e.g.,</w:t>
      </w:r>
      <w:r w:rsidRPr="5E7CA050">
        <w:rPr>
          <w:lang w:eastAsia="en-NZ"/>
        </w:rPr>
        <w:t xml:space="preserve"> for an energy supplement -</w:t>
      </w:r>
      <w:r w:rsidR="40424BE5" w:rsidRPr="5E7CA050">
        <w:rPr>
          <w:lang w:eastAsia="en-NZ"/>
        </w:rPr>
        <w:t xml:space="preserve"> </w:t>
      </w:r>
      <w:r w:rsidRPr="5E7CA050">
        <w:rPr>
          <w:lang w:eastAsia="en-NZ"/>
        </w:rPr>
        <w:t>that the food be consumed with adequate fluid intake (</w:t>
      </w:r>
      <w:r w:rsidR="4C9E5493" w:rsidRPr="5E7CA050">
        <w:rPr>
          <w:lang w:eastAsia="en-NZ"/>
        </w:rPr>
        <w:t xml:space="preserve">see </w:t>
      </w:r>
      <w:r w:rsidRPr="5E7CA050">
        <w:rPr>
          <w:lang w:eastAsia="en-NZ"/>
        </w:rPr>
        <w:t xml:space="preserve">Table </w:t>
      </w:r>
      <w:r w:rsidR="19A76FAA" w:rsidRPr="5E7CA050">
        <w:rPr>
          <w:lang w:eastAsia="en-NZ"/>
        </w:rPr>
        <w:t>2</w:t>
      </w:r>
      <w:r w:rsidR="120BC090" w:rsidRPr="5E7CA050">
        <w:rPr>
          <w:lang w:eastAsia="en-NZ"/>
        </w:rPr>
        <w:t xml:space="preserve"> below</w:t>
      </w:r>
      <w:r w:rsidRPr="5E7CA050">
        <w:rPr>
          <w:lang w:eastAsia="en-NZ"/>
        </w:rPr>
        <w:t>).</w:t>
      </w:r>
    </w:p>
    <w:p w14:paraId="522A5325" w14:textId="2DF3DC8A" w:rsidR="00193796" w:rsidRPr="00193796" w:rsidRDefault="00193796" w:rsidP="273439B9">
      <w:pPr>
        <w:pStyle w:val="FSBullet1"/>
        <w:numPr>
          <w:ilvl w:val="0"/>
          <w:numId w:val="0"/>
        </w:numPr>
        <w:spacing w:after="160"/>
        <w:rPr>
          <w:b/>
          <w:bCs/>
        </w:rPr>
      </w:pPr>
      <w:bookmarkStart w:id="66" w:name="_Toc117173827"/>
      <w:r w:rsidRPr="273439B9">
        <w:rPr>
          <w:lang w:eastAsia="en-NZ"/>
        </w:rPr>
        <w:t xml:space="preserve">Standard 1.2.1 of the Code includes the labelling requirements for foods required to bear a label or otherwise provide information for foods for retail sale, sold to a caterer and other sales. </w:t>
      </w:r>
      <w:bookmarkStart w:id="67" w:name="_Toc117173828"/>
      <w:bookmarkEnd w:id="66"/>
      <w:r w:rsidRPr="273439B9">
        <w:rPr>
          <w:lang w:eastAsia="en-NZ"/>
        </w:rPr>
        <w:t xml:space="preserve">For </w:t>
      </w:r>
      <w:r w:rsidR="00121B51">
        <w:rPr>
          <w:lang w:eastAsia="en-NZ"/>
        </w:rPr>
        <w:t>sports foods</w:t>
      </w:r>
      <w:r w:rsidRPr="273439B9">
        <w:rPr>
          <w:lang w:eastAsia="en-NZ"/>
        </w:rPr>
        <w:t xml:space="preserve"> for retail sale</w:t>
      </w:r>
      <w:r w:rsidR="4487941B" w:rsidRPr="273439B9">
        <w:rPr>
          <w:lang w:eastAsia="en-NZ"/>
        </w:rPr>
        <w:t xml:space="preserve"> that</w:t>
      </w:r>
      <w:r w:rsidRPr="273439B9">
        <w:rPr>
          <w:lang w:eastAsia="en-NZ"/>
        </w:rPr>
        <w:t xml:space="preserve"> </w:t>
      </w:r>
      <w:r w:rsidR="4487941B" w:rsidRPr="273439B9">
        <w:rPr>
          <w:lang w:eastAsia="en-NZ"/>
        </w:rPr>
        <w:t xml:space="preserve">are </w:t>
      </w:r>
      <w:r w:rsidRPr="273439B9">
        <w:rPr>
          <w:lang w:eastAsia="en-NZ"/>
        </w:rPr>
        <w:t xml:space="preserve">exempt from the requirement to bear a label, there is currently no requirement in the Code (under Standard 1.2.1 or elsewhere) for the required statements in </w:t>
      </w:r>
      <w:r w:rsidR="004A49E3">
        <w:rPr>
          <w:lang w:eastAsia="en-NZ"/>
        </w:rPr>
        <w:t xml:space="preserve">section </w:t>
      </w:r>
      <w:r w:rsidRPr="273439B9">
        <w:rPr>
          <w:lang w:eastAsia="en-NZ"/>
        </w:rPr>
        <w:t xml:space="preserve">2.9.4—4 to be declared by any other means </w:t>
      </w:r>
      <w:r w:rsidR="0649CCFC" w:rsidRPr="273439B9">
        <w:rPr>
          <w:lang w:eastAsia="en-NZ"/>
        </w:rPr>
        <w:t>e.g.,</w:t>
      </w:r>
      <w:r w:rsidRPr="273439B9">
        <w:rPr>
          <w:lang w:eastAsia="en-NZ"/>
        </w:rPr>
        <w:t xml:space="preserve"> displayed in connection with the food or provided to the purchaser on request</w:t>
      </w:r>
      <w:r>
        <w:t xml:space="preserve">. This is not consistent with the current approach for the provision of advisory and warning statements in Standard 1.2.1. An example of a situation where a </w:t>
      </w:r>
      <w:r w:rsidR="00121B51">
        <w:t>sports food</w:t>
      </w:r>
      <w:r>
        <w:t xml:space="preserve"> would not be required to bear a label is a </w:t>
      </w:r>
      <w:r w:rsidRPr="273439B9">
        <w:rPr>
          <w:lang w:val="en-AU"/>
        </w:rPr>
        <w:t>drink served in a cup at an event, in the presence of the purchaser.</w:t>
      </w:r>
      <w:bookmarkEnd w:id="67"/>
    </w:p>
    <w:p w14:paraId="78F13D8A" w14:textId="7F74EC59" w:rsidR="002B5EA3" w:rsidRPr="00816E2A" w:rsidRDefault="00193796" w:rsidP="00251931">
      <w:pPr>
        <w:pStyle w:val="Heading3"/>
      </w:pPr>
      <w:bookmarkStart w:id="68" w:name="_Toc122602234"/>
      <w:r>
        <w:t>Nutrition information requirements</w:t>
      </w:r>
      <w:bookmarkEnd w:id="68"/>
    </w:p>
    <w:p w14:paraId="7AF815A2" w14:textId="5190D07B" w:rsidR="00FC58A1" w:rsidRDefault="00193796" w:rsidP="00170A60">
      <w:pPr>
        <w:spacing w:after="160"/>
      </w:pPr>
      <w:r>
        <w:t xml:space="preserve">Section 1.2.8—5 requires packaged food (unless exempted) to include a nutrition information panel (NIP). Standard 1.2.8 contains other requirements relating to NIPs </w:t>
      </w:r>
      <w:r w:rsidR="264350F5">
        <w:t>e.g.,</w:t>
      </w:r>
      <w:r>
        <w:t xml:space="preserve"> what information must be included and how to express that information in a NIP (see sections 1.2.8—6 and 1.2.8—7). This includes the declaration of the average quantity of energy content, protein, fat, saturated fat, carbohydrate, sugars and sodium. </w:t>
      </w:r>
    </w:p>
    <w:p w14:paraId="439C20D9" w14:textId="5F736B86" w:rsidR="00193796" w:rsidRDefault="00193796" w:rsidP="00193796">
      <w:pPr>
        <w:spacing w:after="160"/>
      </w:pPr>
      <w:r w:rsidRPr="00593C41">
        <w:t>If a claim requiring nutrition information</w:t>
      </w:r>
      <w:r w:rsidRPr="00593C41">
        <w:rPr>
          <w:rStyle w:val="FootnoteReference"/>
        </w:rPr>
        <w:footnoteReference w:id="32"/>
      </w:r>
      <w:r w:rsidRPr="00593C41">
        <w:t xml:space="preserve"> is made</w:t>
      </w:r>
      <w:r>
        <w:t xml:space="preserve"> about certain nutrients or </w:t>
      </w:r>
      <w:r w:rsidRPr="00593C41">
        <w:t>biologically active substance</w:t>
      </w:r>
      <w:r>
        <w:t>s</w:t>
      </w:r>
      <w:r w:rsidRPr="00593C41">
        <w:t xml:space="preserve"> (on the label or in advertising), the NIP must include </w:t>
      </w:r>
      <w:r w:rsidR="12891B80" w:rsidRPr="00593C41">
        <w:t xml:space="preserve">the </w:t>
      </w:r>
      <w:r w:rsidRPr="00593C41">
        <w:t>name and the average quantity</w:t>
      </w:r>
      <w:r>
        <w:t xml:space="preserve"> (</w:t>
      </w:r>
      <w:r w:rsidRPr="00E807F5">
        <w:t>expressed in grams, milligrams, micrograms or other units as appropriate</w:t>
      </w:r>
      <w:r>
        <w:t>)</w:t>
      </w:r>
      <w:r w:rsidRPr="00593C41">
        <w:t xml:space="preserve"> of </w:t>
      </w:r>
      <w:r>
        <w:t>each</w:t>
      </w:r>
      <w:r w:rsidRPr="00593C41">
        <w:t xml:space="preserve"> nutrient or biologically active substance in respect </w:t>
      </w:r>
      <w:r>
        <w:t>of which</w:t>
      </w:r>
      <w:r w:rsidRPr="00593C41">
        <w:t xml:space="preserve"> the claim</w:t>
      </w:r>
      <w:r>
        <w:t xml:space="preserve"> was made (see </w:t>
      </w:r>
      <w:r w:rsidRPr="001B3D64">
        <w:t xml:space="preserve">paragraph </w:t>
      </w:r>
      <w:r w:rsidRPr="001B3D64">
        <w:rPr>
          <w:color w:val="000000"/>
          <w:shd w:val="clear" w:color="auto" w:fill="FFFFFF"/>
        </w:rPr>
        <w:t>1.2.8—6(1)</w:t>
      </w:r>
      <w:r>
        <w:rPr>
          <w:color w:val="000000"/>
          <w:shd w:val="clear" w:color="auto" w:fill="FFFFFF"/>
        </w:rPr>
        <w:t>(d)</w:t>
      </w:r>
      <w:r w:rsidRPr="001B3D64">
        <w:rPr>
          <w:color w:val="000000"/>
          <w:shd w:val="clear" w:color="auto" w:fill="FFFFFF"/>
        </w:rPr>
        <w:t>(iv))</w:t>
      </w:r>
      <w:r w:rsidRPr="001B3D64">
        <w:t>.</w:t>
      </w:r>
      <w:r w:rsidRPr="00593C41">
        <w:t xml:space="preserve"> Details of additional substances in the NIP can be voluntarily declared</w:t>
      </w:r>
      <w:r>
        <w:t xml:space="preserve">. </w:t>
      </w:r>
      <w:r w:rsidRPr="00593C41">
        <w:t>In most cases</w:t>
      </w:r>
      <w:r>
        <w:t>, unless the Code otherwise provides</w:t>
      </w:r>
      <w:r w:rsidRPr="00593C41">
        <w:t>, information provided voluntarily in a NIP constitutes a nutrition content claim</w:t>
      </w:r>
      <w:r>
        <w:t xml:space="preserve"> (subsection 1.2.7—2(3))</w:t>
      </w:r>
      <w:r w:rsidRPr="00593C41">
        <w:t xml:space="preserve">. </w:t>
      </w:r>
      <w:r w:rsidR="00121B51">
        <w:t>Sports foods</w:t>
      </w:r>
      <w:r w:rsidRPr="00593C41">
        <w:t xml:space="preserve"> making a nutrition content claim would need to meet the relevant conditions in Standard 1.2.7 and Standard 2.9.4 of the Code. </w:t>
      </w:r>
    </w:p>
    <w:p w14:paraId="6D345235" w14:textId="0DD822DC" w:rsidR="00193796" w:rsidRDefault="00193796" w:rsidP="00251931">
      <w:pPr>
        <w:pStyle w:val="Heading3"/>
      </w:pPr>
      <w:bookmarkStart w:id="69" w:name="_Toc122602235"/>
      <w:r>
        <w:t>Nutrition content and health claims</w:t>
      </w:r>
      <w:bookmarkEnd w:id="69"/>
    </w:p>
    <w:p w14:paraId="39DAD247" w14:textId="45600B2F" w:rsidR="00193796" w:rsidRPr="00593C41" w:rsidRDefault="00193796" w:rsidP="00193796">
      <w:pPr>
        <w:spacing w:after="160"/>
      </w:pPr>
      <w:r w:rsidRPr="00593C41">
        <w:t xml:space="preserve">Nutrition content and health claims about </w:t>
      </w:r>
      <w:r w:rsidR="00E5629E">
        <w:t>sports foods</w:t>
      </w:r>
      <w:r w:rsidRPr="00593C41">
        <w:t xml:space="preserve"> are regulated by Standard 1.2.7 and Standard 2.9.4.   </w:t>
      </w:r>
    </w:p>
    <w:p w14:paraId="1AC1B162" w14:textId="33EBB1AD" w:rsidR="00193796" w:rsidRPr="00593C41" w:rsidRDefault="00193796" w:rsidP="00193796">
      <w:pPr>
        <w:spacing w:after="160"/>
      </w:pPr>
      <w:r w:rsidRPr="00593C41">
        <w:t>Standard 1.2.7 and Schedule 4 of the Code set out the conditions under which nutrition content, heath claims and other related claims can be made on food labels and in advertising. Standard 1.2.7 does not apply to claims expressly permitted elsewhere in the Code</w:t>
      </w:r>
      <w:r>
        <w:t xml:space="preserve"> (refer </w:t>
      </w:r>
      <w:r w:rsidR="004A49E3">
        <w:t xml:space="preserve">to </w:t>
      </w:r>
      <w:r w:rsidRPr="00803AC5">
        <w:t xml:space="preserve">paragraph </w:t>
      </w:r>
      <w:bookmarkStart w:id="70" w:name="_Toc371505387"/>
      <w:r w:rsidRPr="00803AC5">
        <w:rPr>
          <w:color w:val="000000"/>
          <w:shd w:val="clear" w:color="auto" w:fill="FFFFFF"/>
        </w:rPr>
        <w:t>1.2.7—6</w:t>
      </w:r>
      <w:bookmarkEnd w:id="70"/>
      <w:r w:rsidRPr="00803AC5">
        <w:rPr>
          <w:color w:val="000000"/>
          <w:shd w:val="clear" w:color="auto" w:fill="FFFFFF"/>
        </w:rPr>
        <w:t>(a))</w:t>
      </w:r>
      <w:r w:rsidRPr="00803AC5">
        <w:t>,</w:t>
      </w:r>
      <w:r w:rsidRPr="00593C41">
        <w:t xml:space="preserve"> such as those permitted for </w:t>
      </w:r>
      <w:r w:rsidR="00BB6B4E">
        <w:t>sports foods</w:t>
      </w:r>
      <w:r w:rsidRPr="00593C41">
        <w:t xml:space="preserve"> in Division 3 of Standard 2.9.4. Claims that are therapeutic</w:t>
      </w:r>
      <w:r w:rsidRPr="00593C41">
        <w:rPr>
          <w:rStyle w:val="FootnoteReference"/>
          <w:rFonts w:eastAsia="Calibri"/>
        </w:rPr>
        <w:footnoteReference w:id="33"/>
      </w:r>
      <w:r w:rsidRPr="00593C41">
        <w:t xml:space="preserve"> in nature are not permitted (</w:t>
      </w:r>
      <w:bookmarkStart w:id="71" w:name="_Ref343590128"/>
      <w:r>
        <w:t>s</w:t>
      </w:r>
      <w:r w:rsidRPr="00593C41">
        <w:t xml:space="preserve">ection </w:t>
      </w:r>
      <w:r w:rsidRPr="00593C41">
        <w:rPr>
          <w:color w:val="000000"/>
          <w:shd w:val="clear" w:color="auto" w:fill="FFFFFF"/>
        </w:rPr>
        <w:t>1.2.7—8</w:t>
      </w:r>
      <w:bookmarkEnd w:id="71"/>
      <w:r w:rsidRPr="00593C41">
        <w:rPr>
          <w:color w:val="000000"/>
          <w:shd w:val="clear" w:color="auto" w:fill="FFFFFF"/>
        </w:rPr>
        <w:t>)</w:t>
      </w:r>
      <w:r w:rsidRPr="00593C41">
        <w:t xml:space="preserve">. </w:t>
      </w:r>
    </w:p>
    <w:p w14:paraId="37BE0BEB" w14:textId="325AA63B" w:rsidR="00193796" w:rsidRPr="00193796" w:rsidRDefault="00193796" w:rsidP="00193796">
      <w:pPr>
        <w:spacing w:after="160"/>
        <w:rPr>
          <w:rFonts w:eastAsia="Arial"/>
          <w:color w:val="000000" w:themeColor="text1"/>
          <w:lang w:val="en-NZ"/>
        </w:rPr>
      </w:pPr>
      <w:r>
        <w:t>The conditions for making health claims are outlined in section 1.2.7—18. This includes the requirement for the food to which a health claim relates to</w:t>
      </w:r>
      <w:r w:rsidR="2B39EAC9">
        <w:t>, to</w:t>
      </w:r>
      <w:r>
        <w:t xml:space="preserve"> meet the nutrient profiling scoring criterion (NPSC). In accordance with </w:t>
      </w:r>
      <w:bookmarkStart w:id="72" w:name="_Toc400031991"/>
      <w:r w:rsidR="004A49E3">
        <w:t xml:space="preserve">subsection </w:t>
      </w:r>
      <w:r>
        <w:t>1.2.7—18</w:t>
      </w:r>
      <w:bookmarkEnd w:id="72"/>
      <w:r>
        <w:t xml:space="preserve">(4), special purpose foods standardised under Part 2.9 (including FSSF) do not need to meet the NPSC to make a health claim. More information about claims in relation to FSSF is provided in the </w:t>
      </w:r>
      <w:r w:rsidR="0A8C5D62">
        <w:t>s</w:t>
      </w:r>
      <w:r>
        <w:t xml:space="preserve">ections below. </w:t>
      </w:r>
    </w:p>
    <w:p w14:paraId="1D35D0A8" w14:textId="3390F94B" w:rsidR="00193796" w:rsidRDefault="00193796" w:rsidP="00193796">
      <w:pPr>
        <w:pStyle w:val="Heading4"/>
        <w:rPr>
          <w:lang w:eastAsia="en-AU"/>
        </w:rPr>
      </w:pPr>
      <w:r>
        <w:rPr>
          <w:lang w:eastAsia="en-AU"/>
        </w:rPr>
        <w:lastRenderedPageBreak/>
        <w:t>Nutritive substance claims</w:t>
      </w:r>
    </w:p>
    <w:p w14:paraId="6EDD306D" w14:textId="50730DB4" w:rsidR="00193796" w:rsidRPr="00593C41" w:rsidRDefault="00193796" w:rsidP="00193796">
      <w:pPr>
        <w:spacing w:after="160"/>
      </w:pPr>
      <w:r w:rsidRPr="00593C41">
        <w:t>Section 2.9.4</w:t>
      </w:r>
      <w:bookmarkStart w:id="73" w:name="_Toc371505698"/>
      <w:r w:rsidRPr="00593C41">
        <w:t>—5</w:t>
      </w:r>
      <w:bookmarkEnd w:id="73"/>
      <w:r w:rsidRPr="00593C41">
        <w:t xml:space="preserve"> requires that if the </w:t>
      </w:r>
      <w:r w:rsidR="00BB6B4E">
        <w:t>sports food</w:t>
      </w:r>
      <w:r w:rsidRPr="00593C41">
        <w:t xml:space="preserve"> package includes a statement referring to the presence of a nutritive substance</w:t>
      </w:r>
      <w:r>
        <w:t xml:space="preserve"> that is not a vitamin or mineral; and </w:t>
      </w:r>
      <w:r w:rsidRPr="00D624E1">
        <w:t>the statement is not required by another provision of th</w:t>
      </w:r>
      <w:r>
        <w:t>e</w:t>
      </w:r>
      <w:r w:rsidRPr="00D624E1">
        <w:t xml:space="preserve"> Code</w:t>
      </w:r>
      <w:r w:rsidRPr="00593C41">
        <w:t>, the label must either state the amount of the nutritive substance by weight</w:t>
      </w:r>
      <w:r>
        <w:t>;</w:t>
      </w:r>
      <w:r>
        <w:rPr>
          <w:rStyle w:val="FootnoteReference"/>
        </w:rPr>
        <w:footnoteReference w:id="34"/>
      </w:r>
      <w:r w:rsidRPr="00593C41">
        <w:t xml:space="preserve"> or list </w:t>
      </w:r>
      <w:r>
        <w:t xml:space="preserve">the substance and </w:t>
      </w:r>
      <w:r w:rsidRPr="00593C41">
        <w:t xml:space="preserve">average quantity by weight of the nutritive substance in the NIP. </w:t>
      </w:r>
    </w:p>
    <w:p w14:paraId="5BB8730F" w14:textId="5F7A8AA5" w:rsidR="00193796" w:rsidRDefault="00193796" w:rsidP="00193796">
      <w:pPr>
        <w:spacing w:after="160"/>
      </w:pPr>
      <w:r w:rsidRPr="00593C41">
        <w:t xml:space="preserve">As outlined in Section </w:t>
      </w:r>
      <w:r w:rsidR="00A159C8">
        <w:t>6</w:t>
      </w:r>
      <w:r>
        <w:t>.1.4</w:t>
      </w:r>
      <w:r w:rsidRPr="00593C41">
        <w:t xml:space="preserve"> above, declaration of </w:t>
      </w:r>
      <w:r>
        <w:t xml:space="preserve">certain </w:t>
      </w:r>
      <w:r w:rsidRPr="00593C41">
        <w:t xml:space="preserve">nutrients or biologically active substance in the NIP </w:t>
      </w:r>
      <w:r>
        <w:t xml:space="preserve">for a claim requiring nutrition information </w:t>
      </w:r>
      <w:r w:rsidRPr="00593C41">
        <w:t xml:space="preserve">is a requirement under </w:t>
      </w:r>
      <w:bookmarkStart w:id="74" w:name="_Toc400032007"/>
      <w:r w:rsidR="00F7664D">
        <w:t>sub</w:t>
      </w:r>
      <w:r w:rsidRPr="00593C41">
        <w:t>paragraph</w:t>
      </w:r>
      <w:r w:rsidRPr="00593C41">
        <w:rPr>
          <w:color w:val="000000"/>
          <w:shd w:val="clear" w:color="auto" w:fill="FFFFFF"/>
        </w:rPr>
        <w:t xml:space="preserve"> 1.2.8—6</w:t>
      </w:r>
      <w:r>
        <w:rPr>
          <w:color w:val="000000"/>
          <w:shd w:val="clear" w:color="auto" w:fill="FFFFFF"/>
        </w:rPr>
        <w:t>(d)</w:t>
      </w:r>
      <w:r w:rsidRPr="00593C41">
        <w:rPr>
          <w:color w:val="000000"/>
          <w:shd w:val="clear" w:color="auto" w:fill="FFFFFF"/>
        </w:rPr>
        <w:t>(iv) </w:t>
      </w:r>
      <w:bookmarkEnd w:id="74"/>
      <w:r w:rsidRPr="00593C41">
        <w:t xml:space="preserve">of the Code.  </w:t>
      </w:r>
    </w:p>
    <w:p w14:paraId="2BB2A0AB" w14:textId="4763C285" w:rsidR="00193796" w:rsidRDefault="00193796" w:rsidP="00193796">
      <w:pPr>
        <w:pStyle w:val="Heading4"/>
        <w:rPr>
          <w:lang w:eastAsia="en-AU"/>
        </w:rPr>
      </w:pPr>
      <w:r>
        <w:rPr>
          <w:lang w:eastAsia="en-AU"/>
        </w:rPr>
        <w:t>Vitamin and mineral claims</w:t>
      </w:r>
    </w:p>
    <w:p w14:paraId="5CF27180" w14:textId="34FBEF28" w:rsidR="00193796" w:rsidRPr="00593C41" w:rsidRDefault="00BC4BDC" w:rsidP="00193796">
      <w:pPr>
        <w:spacing w:after="160"/>
      </w:pPr>
      <w:r>
        <w:t xml:space="preserve">The Code does not currently permit </w:t>
      </w:r>
      <w:r w:rsidR="00BB6B4E">
        <w:t>sports foods</w:t>
      </w:r>
      <w:r>
        <w:t xml:space="preserve"> to use any other descriptors</w:t>
      </w:r>
      <w:r w:rsidR="00597D54">
        <w:t xml:space="preserve"> (e.g. good source)</w:t>
      </w:r>
      <w:r>
        <w:t>, other than to claim its presence in relation to a nutrition content claim about a vitamin or mineral</w:t>
      </w:r>
      <w:r>
        <w:rPr>
          <w:rStyle w:val="FootnoteReference"/>
        </w:rPr>
        <w:footnoteReference w:id="35"/>
      </w:r>
      <w:r>
        <w:t>.</w:t>
      </w:r>
      <w:r w:rsidR="00735F23">
        <w:t xml:space="preserve"> </w:t>
      </w:r>
      <w:r w:rsidR="00193796" w:rsidRPr="00593C41">
        <w:t xml:space="preserve">In accordance with </w:t>
      </w:r>
      <w:r w:rsidR="00193796">
        <w:t>s</w:t>
      </w:r>
      <w:r w:rsidR="00193796" w:rsidRPr="00593C41">
        <w:t>ection 2.9.4—6</w:t>
      </w:r>
      <w:r w:rsidR="00083682">
        <w:t>,</w:t>
      </w:r>
      <w:r w:rsidR="00193796" w:rsidRPr="00593C41">
        <w:t xml:space="preserve"> FSSF may claim the presence of vitamin and minerals in the </w:t>
      </w:r>
      <w:r w:rsidR="00BB6B4E">
        <w:t>sports food</w:t>
      </w:r>
      <w:r w:rsidR="00193796" w:rsidRPr="00593C41">
        <w:t xml:space="preserve"> only if: </w:t>
      </w:r>
    </w:p>
    <w:p w14:paraId="5BF910FE" w14:textId="77777777" w:rsidR="00193796" w:rsidRPr="00593C41" w:rsidRDefault="00193796" w:rsidP="00193796">
      <w:pPr>
        <w:pStyle w:val="FSBullet1"/>
        <w:numPr>
          <w:ilvl w:val="0"/>
          <w:numId w:val="14"/>
        </w:numPr>
        <w:spacing w:line="259" w:lineRule="auto"/>
      </w:pPr>
      <w:r>
        <w:t>a serving of the food, or, for a food that requires dilution or reconstitution according to directions, the amount of the food that produces a normal serving, contains at least 10% *RDI or *ESADDI for that vitamin or mineral specified in Column 3 of the tables to sections S1—2 or S1—3, as appropriate; and</w:t>
      </w:r>
    </w:p>
    <w:p w14:paraId="7D0DC3C6" w14:textId="77777777" w:rsidR="00193796" w:rsidRPr="00803AC5" w:rsidRDefault="00193796" w:rsidP="00193796">
      <w:pPr>
        <w:pStyle w:val="FSBullet1"/>
        <w:numPr>
          <w:ilvl w:val="0"/>
          <w:numId w:val="14"/>
        </w:numPr>
        <w:spacing w:after="160" w:line="259" w:lineRule="auto"/>
        <w:rPr>
          <w:rFonts w:eastAsia="Arial"/>
        </w:rPr>
      </w:pPr>
      <w:r>
        <w:t>the amount claimed is no more than the amount specified in Column 3 of the table to section S29—16 for that vitamin or mineral.</w:t>
      </w:r>
    </w:p>
    <w:p w14:paraId="37AE1F2A" w14:textId="101B8EA6" w:rsidR="00193796" w:rsidRDefault="00193796" w:rsidP="00193796">
      <w:pPr>
        <w:pStyle w:val="Heading4"/>
        <w:rPr>
          <w:lang w:eastAsia="en-AU"/>
        </w:rPr>
      </w:pPr>
      <w:r>
        <w:rPr>
          <w:lang w:eastAsia="en-AU"/>
        </w:rPr>
        <w:t>Prohibited representations</w:t>
      </w:r>
    </w:p>
    <w:p w14:paraId="43F061B5" w14:textId="77777777" w:rsidR="00193796" w:rsidRPr="00593C41" w:rsidRDefault="00193796" w:rsidP="00193796">
      <w:pPr>
        <w:spacing w:after="160"/>
      </w:pPr>
      <w:r w:rsidRPr="00593C41">
        <w:t>Under Standard 1.2.7, foods are permitted to carry health claims, including claims about physical performance, providing certain claim conditions are met. However,</w:t>
      </w:r>
      <w:r w:rsidRPr="00593C41" w:rsidDel="004F13F3">
        <w:t xml:space="preserve"> </w:t>
      </w:r>
      <w:r>
        <w:t>s</w:t>
      </w:r>
      <w:r w:rsidRPr="00593C41">
        <w:t xml:space="preserve">ection </w:t>
      </w:r>
      <w:r w:rsidRPr="00593C41">
        <w:rPr>
          <w:color w:val="000000"/>
          <w:shd w:val="clear" w:color="auto" w:fill="FFFFFF"/>
        </w:rPr>
        <w:t>2.9.4—7 prohibit</w:t>
      </w:r>
      <w:r>
        <w:rPr>
          <w:color w:val="000000"/>
          <w:shd w:val="clear" w:color="auto" w:fill="FFFFFF"/>
        </w:rPr>
        <w:t xml:space="preserve">s </w:t>
      </w:r>
      <w:r w:rsidRPr="00593C41">
        <w:rPr>
          <w:color w:val="000000"/>
          <w:shd w:val="clear" w:color="auto" w:fill="FFFFFF"/>
        </w:rPr>
        <w:t>representations</w:t>
      </w:r>
      <w:r w:rsidRPr="00593C41">
        <w:t xml:space="preserve"> in relation to enhanced athletic performance and beneficial physiological effects to be made on the label </w:t>
      </w:r>
      <w:r>
        <w:t xml:space="preserve">on a package </w:t>
      </w:r>
      <w:r w:rsidRPr="00593C41">
        <w:t xml:space="preserve">of FSSF, </w:t>
      </w:r>
      <w:r>
        <w:t>as follows</w:t>
      </w:r>
      <w:r w:rsidRPr="00593C41">
        <w:t xml:space="preserve">: </w:t>
      </w:r>
    </w:p>
    <w:p w14:paraId="77E12D86" w14:textId="77777777" w:rsidR="00193796" w:rsidRPr="00F6039D" w:rsidRDefault="00193796" w:rsidP="00193796">
      <w:pPr>
        <w:spacing w:after="160"/>
        <w:ind w:left="567"/>
        <w:rPr>
          <w:i/>
          <w:iCs/>
        </w:rPr>
      </w:pPr>
      <w:r w:rsidRPr="00F6039D">
        <w:rPr>
          <w:i/>
          <w:iCs/>
        </w:rPr>
        <w:t>Unless specific permission is given in Division 3, the label on a package of formulated supplementary sports food must not include an express or implied representation that relates to any property or proposed use of the food to enhanced athletic performance or beneficial physiological effects.</w:t>
      </w:r>
    </w:p>
    <w:p w14:paraId="3E474937" w14:textId="26A54E1D" w:rsidR="00193796" w:rsidRDefault="00193796" w:rsidP="00251931">
      <w:pPr>
        <w:pStyle w:val="Heading3"/>
      </w:pPr>
      <w:bookmarkStart w:id="75" w:name="_Toc122602236"/>
      <w:r>
        <w:t>Labelling statements for particular FSSF</w:t>
      </w:r>
      <w:bookmarkEnd w:id="75"/>
    </w:p>
    <w:p w14:paraId="3880EB96" w14:textId="49EE78CC" w:rsidR="00193796" w:rsidRPr="00593C41" w:rsidRDefault="00193796" w:rsidP="00193796">
      <w:pPr>
        <w:spacing w:after="160"/>
      </w:pPr>
      <w:r>
        <w:t xml:space="preserve">If </w:t>
      </w:r>
      <w:r w:rsidR="006C7331">
        <w:t xml:space="preserve">a </w:t>
      </w:r>
      <w:r w:rsidR="00D10853">
        <w:t>sports food</w:t>
      </w:r>
      <w:r>
        <w:t xml:space="preserve"> is a high carbohydrate, protein</w:t>
      </w:r>
      <w:r w:rsidR="24DCA39D">
        <w:t xml:space="preserve"> </w:t>
      </w:r>
      <w:r>
        <w:t>energy or energy supplement (as defined in Division 3 of Standard 2.9.4), the</w:t>
      </w:r>
      <w:r w:rsidR="005E6209">
        <w:t>re are requirements for</w:t>
      </w:r>
      <w:r>
        <w:t xml:space="preserve"> label </w:t>
      </w:r>
      <w:r w:rsidR="005E6209">
        <w:t xml:space="preserve">statements </w:t>
      </w:r>
      <w:r w:rsidR="00E10D8E">
        <w:t xml:space="preserve">that must or </w:t>
      </w:r>
      <w:r>
        <w:t xml:space="preserve">may </w:t>
      </w:r>
      <w:r w:rsidR="00E10D8E">
        <w:t>be provided</w:t>
      </w:r>
      <w:r>
        <w:t xml:space="preserve"> about </w:t>
      </w:r>
      <w:r w:rsidR="00E10D8E">
        <w:t xml:space="preserve">their </w:t>
      </w:r>
      <w:r w:rsidR="004358EE">
        <w:t xml:space="preserve">appropriate </w:t>
      </w:r>
      <w:r>
        <w:t xml:space="preserve">use and </w:t>
      </w:r>
      <w:r w:rsidR="00643958">
        <w:t>purpose</w:t>
      </w:r>
      <w:r>
        <w:t xml:space="preserve">. </w:t>
      </w:r>
    </w:p>
    <w:p w14:paraId="44DAB308" w14:textId="77777777" w:rsidR="00193796" w:rsidRPr="00593C41" w:rsidRDefault="00193796" w:rsidP="00193796">
      <w:pPr>
        <w:spacing w:after="160"/>
      </w:pPr>
      <w:r w:rsidRPr="00593C41">
        <w:t xml:space="preserve">A summary of the statements in Division 3, and associated compositional criteria is provided in the table below. </w:t>
      </w:r>
    </w:p>
    <w:p w14:paraId="15131612" w14:textId="24F439D9" w:rsidR="00193796" w:rsidRPr="009F44A8" w:rsidRDefault="00193796" w:rsidP="00193796">
      <w:pPr>
        <w:pStyle w:val="FSTableText"/>
        <w:spacing w:after="160"/>
        <w:rPr>
          <w:rFonts w:eastAsia="Calibri"/>
        </w:rPr>
      </w:pPr>
      <w:r w:rsidRPr="00DB272D">
        <w:rPr>
          <w:rFonts w:eastAsia="Calibri"/>
          <w:b/>
          <w:bCs/>
        </w:rPr>
        <w:t xml:space="preserve">Table </w:t>
      </w:r>
      <w:r w:rsidR="73CB7F16" w:rsidRPr="00DB272D">
        <w:rPr>
          <w:rFonts w:eastAsia="Calibri"/>
          <w:b/>
          <w:bCs/>
        </w:rPr>
        <w:t>2</w:t>
      </w:r>
      <w:r w:rsidRPr="00DB272D">
        <w:rPr>
          <w:rFonts w:eastAsia="Calibri"/>
          <w:b/>
          <w:bCs/>
        </w:rPr>
        <w:t>:</w:t>
      </w:r>
      <w:r w:rsidRPr="273439B9">
        <w:rPr>
          <w:rFonts w:eastAsia="Calibri"/>
        </w:rPr>
        <w:t xml:space="preserve"> Labelling statements for particular formulated supplementary sports foods (Standard 2.9.4, Division 3)</w:t>
      </w:r>
    </w:p>
    <w:tbl>
      <w:tblPr>
        <w:tblStyle w:val="TableGrid1"/>
        <w:tblW w:w="9351" w:type="dxa"/>
        <w:tblLook w:val="04A0" w:firstRow="1" w:lastRow="0" w:firstColumn="1" w:lastColumn="0" w:noHBand="0" w:noVBand="1"/>
      </w:tblPr>
      <w:tblGrid>
        <w:gridCol w:w="2122"/>
        <w:gridCol w:w="2268"/>
        <w:gridCol w:w="2441"/>
        <w:gridCol w:w="2520"/>
      </w:tblGrid>
      <w:tr w:rsidR="00193796" w:rsidRPr="00593C41" w14:paraId="71215D3D" w14:textId="77777777" w:rsidTr="273439B9">
        <w:tc>
          <w:tcPr>
            <w:tcW w:w="2122" w:type="dxa"/>
          </w:tcPr>
          <w:p w14:paraId="23AF7019" w14:textId="77777777" w:rsidR="00193796" w:rsidRPr="004D1531" w:rsidRDefault="00193796" w:rsidP="273439B9">
            <w:pPr>
              <w:rPr>
                <w:rFonts w:cs="Arial"/>
                <w:b/>
                <w:bCs/>
              </w:rPr>
            </w:pPr>
            <w:r w:rsidRPr="273439B9">
              <w:rPr>
                <w:rFonts w:cs="Arial"/>
                <w:b/>
                <w:bCs/>
              </w:rPr>
              <w:t xml:space="preserve">Formulated supplementary sports food </w:t>
            </w:r>
            <w:r w:rsidRPr="273439B9">
              <w:rPr>
                <w:rFonts w:cs="Arial"/>
                <w:b/>
                <w:bCs/>
              </w:rPr>
              <w:lastRenderedPageBreak/>
              <w:t>category</w:t>
            </w:r>
          </w:p>
        </w:tc>
        <w:tc>
          <w:tcPr>
            <w:tcW w:w="2268" w:type="dxa"/>
          </w:tcPr>
          <w:p w14:paraId="1C6C3EF5" w14:textId="77777777" w:rsidR="00193796" w:rsidRPr="004D1531" w:rsidRDefault="00193796" w:rsidP="273439B9">
            <w:pPr>
              <w:rPr>
                <w:rFonts w:cs="Arial"/>
                <w:b/>
                <w:bCs/>
              </w:rPr>
            </w:pPr>
            <w:r w:rsidRPr="273439B9">
              <w:rPr>
                <w:rFonts w:cs="Arial"/>
                <w:b/>
                <w:bCs/>
              </w:rPr>
              <w:lastRenderedPageBreak/>
              <w:t>Composition requirements</w:t>
            </w:r>
          </w:p>
        </w:tc>
        <w:tc>
          <w:tcPr>
            <w:tcW w:w="2441" w:type="dxa"/>
          </w:tcPr>
          <w:p w14:paraId="7FB8089A" w14:textId="1030686F" w:rsidR="00193796" w:rsidRPr="004D1531" w:rsidRDefault="00193796" w:rsidP="273439B9">
            <w:pPr>
              <w:rPr>
                <w:rFonts w:cs="Arial"/>
                <w:b/>
                <w:bCs/>
              </w:rPr>
            </w:pPr>
            <w:r w:rsidRPr="273439B9">
              <w:rPr>
                <w:rFonts w:cs="Arial"/>
                <w:b/>
                <w:bCs/>
              </w:rPr>
              <w:t xml:space="preserve">Required statements </w:t>
            </w:r>
          </w:p>
        </w:tc>
        <w:tc>
          <w:tcPr>
            <w:tcW w:w="2520" w:type="dxa"/>
          </w:tcPr>
          <w:p w14:paraId="522F06B6" w14:textId="77777777" w:rsidR="00193796" w:rsidRPr="004D1531" w:rsidRDefault="00193796" w:rsidP="273439B9">
            <w:pPr>
              <w:rPr>
                <w:rFonts w:cs="Arial"/>
                <w:b/>
                <w:bCs/>
              </w:rPr>
            </w:pPr>
            <w:r w:rsidRPr="273439B9">
              <w:rPr>
                <w:rFonts w:cs="Arial"/>
                <w:b/>
                <w:bCs/>
              </w:rPr>
              <w:t>Optional statements (to the effect of)</w:t>
            </w:r>
          </w:p>
        </w:tc>
      </w:tr>
      <w:tr w:rsidR="00193796" w:rsidRPr="00593C41" w14:paraId="566D72C6" w14:textId="77777777" w:rsidTr="273439B9">
        <w:tc>
          <w:tcPr>
            <w:tcW w:w="2122" w:type="dxa"/>
          </w:tcPr>
          <w:p w14:paraId="2802E74C" w14:textId="77777777" w:rsidR="00193796" w:rsidRPr="004D1531" w:rsidRDefault="00193796" w:rsidP="00A91ED9">
            <w:pPr>
              <w:rPr>
                <w:rFonts w:cs="Arial"/>
              </w:rPr>
            </w:pPr>
            <w:r w:rsidRPr="004D1531">
              <w:rPr>
                <w:rFonts w:cs="Arial"/>
              </w:rPr>
              <w:lastRenderedPageBreak/>
              <w:t>High carbohydrate supplement</w:t>
            </w:r>
          </w:p>
        </w:tc>
        <w:tc>
          <w:tcPr>
            <w:tcW w:w="2268" w:type="dxa"/>
          </w:tcPr>
          <w:p w14:paraId="12700516" w14:textId="77777777" w:rsidR="00193796" w:rsidRPr="004D1531" w:rsidRDefault="00193796" w:rsidP="00A91ED9">
            <w:pPr>
              <w:rPr>
                <w:rFonts w:cs="Arial"/>
              </w:rPr>
            </w:pPr>
            <w:r w:rsidRPr="004D1531">
              <w:rPr>
                <w:rFonts w:cs="Arial"/>
              </w:rPr>
              <w:t>(a)     not less than 90% of the *average energy content of the product is derived from carbohydrate; and</w:t>
            </w:r>
          </w:p>
          <w:p w14:paraId="6E7FD27D" w14:textId="77777777" w:rsidR="00193796" w:rsidRPr="004D1531" w:rsidRDefault="00193796" w:rsidP="00A91ED9">
            <w:pPr>
              <w:rPr>
                <w:rFonts w:cs="Arial"/>
              </w:rPr>
            </w:pPr>
            <w:r w:rsidRPr="004D1531">
              <w:rPr>
                <w:rFonts w:cs="Arial"/>
              </w:rPr>
              <w:t>(b)     more than 15% of the product by weight is *carbohydrate when prepared as directed.</w:t>
            </w:r>
          </w:p>
        </w:tc>
        <w:tc>
          <w:tcPr>
            <w:tcW w:w="2441" w:type="dxa"/>
          </w:tcPr>
          <w:p w14:paraId="38BAF9C6" w14:textId="77777777" w:rsidR="00193796" w:rsidRPr="004D1531" w:rsidRDefault="00193796" w:rsidP="00A91ED9">
            <w:pPr>
              <w:rPr>
                <w:rFonts w:cs="Arial"/>
              </w:rPr>
            </w:pPr>
            <w:r w:rsidRPr="004D1531">
              <w:rPr>
                <w:rFonts w:cs="Arial"/>
              </w:rPr>
              <w:t>(a)     a statement to the effect that, if used during exercise, the food should be   consumed in accordance with directions, to avoid the possibility of gastro-intestinal upset; and</w:t>
            </w:r>
          </w:p>
          <w:p w14:paraId="780CFE36" w14:textId="77777777" w:rsidR="00193796" w:rsidRPr="004D1531" w:rsidRDefault="00193796" w:rsidP="00A91ED9">
            <w:pPr>
              <w:rPr>
                <w:rFonts w:cs="Arial"/>
              </w:rPr>
            </w:pPr>
            <w:r w:rsidRPr="004D1531">
              <w:rPr>
                <w:rFonts w:cs="Arial"/>
              </w:rPr>
              <w:t>(b)     a statement to the effect that the food must be consumed with an appropriate fluid intake.</w:t>
            </w:r>
          </w:p>
        </w:tc>
        <w:tc>
          <w:tcPr>
            <w:tcW w:w="2520" w:type="dxa"/>
          </w:tcPr>
          <w:p w14:paraId="2581634B" w14:textId="77777777" w:rsidR="00193796" w:rsidRPr="004D1531" w:rsidRDefault="00193796" w:rsidP="00A91ED9">
            <w:pPr>
              <w:rPr>
                <w:rFonts w:cs="Arial"/>
              </w:rPr>
            </w:pPr>
            <w:r w:rsidRPr="004D1531">
              <w:rPr>
                <w:rFonts w:cs="Arial"/>
              </w:rPr>
              <w:t>(a)     the food is useful before, during, or after sustained strenuous exercise; and</w:t>
            </w:r>
          </w:p>
          <w:p w14:paraId="6FCAE984" w14:textId="77777777" w:rsidR="00193796" w:rsidRPr="004D1531" w:rsidRDefault="00193796" w:rsidP="00A91ED9">
            <w:pPr>
              <w:rPr>
                <w:rFonts w:cs="Arial"/>
              </w:rPr>
            </w:pPr>
            <w:r w:rsidRPr="004D1531">
              <w:rPr>
                <w:rFonts w:cs="Arial"/>
              </w:rPr>
              <w:t>(b)     appropriate usage may assist in the provision of energy in the form of carbohydrates.</w:t>
            </w:r>
          </w:p>
        </w:tc>
      </w:tr>
      <w:tr w:rsidR="00193796" w:rsidRPr="00593C41" w14:paraId="2C46F0EF" w14:textId="77777777" w:rsidTr="273439B9">
        <w:tc>
          <w:tcPr>
            <w:tcW w:w="2122" w:type="dxa"/>
          </w:tcPr>
          <w:p w14:paraId="3FD8FFA7" w14:textId="3914758C" w:rsidR="00193796" w:rsidRPr="004D1531" w:rsidRDefault="00193796" w:rsidP="00A91ED9">
            <w:pPr>
              <w:rPr>
                <w:rFonts w:cs="Arial"/>
              </w:rPr>
            </w:pPr>
            <w:r w:rsidRPr="273439B9">
              <w:rPr>
                <w:rFonts w:cs="Arial"/>
              </w:rPr>
              <w:t>Protein</w:t>
            </w:r>
            <w:r w:rsidR="21BED278" w:rsidRPr="273439B9">
              <w:rPr>
                <w:rFonts w:cs="Arial"/>
              </w:rPr>
              <w:t xml:space="preserve"> </w:t>
            </w:r>
            <w:r w:rsidRPr="273439B9">
              <w:rPr>
                <w:rFonts w:cs="Arial"/>
              </w:rPr>
              <w:t>energy supplement</w:t>
            </w:r>
          </w:p>
        </w:tc>
        <w:tc>
          <w:tcPr>
            <w:tcW w:w="2268" w:type="dxa"/>
          </w:tcPr>
          <w:p w14:paraId="02D48ED3" w14:textId="77777777" w:rsidR="00193796" w:rsidRPr="004D1531" w:rsidRDefault="00193796" w:rsidP="00A91ED9">
            <w:pPr>
              <w:rPr>
                <w:rFonts w:cs="Arial"/>
              </w:rPr>
            </w:pPr>
            <w:r w:rsidRPr="004D1531">
              <w:rPr>
                <w:rFonts w:cs="Arial"/>
              </w:rPr>
              <w:t>(a)     not more than 30% and not less than 15% of the *average energy content of the product is derived from protein; and</w:t>
            </w:r>
          </w:p>
          <w:p w14:paraId="2F77F05F" w14:textId="77777777" w:rsidR="00193796" w:rsidRPr="004D1531" w:rsidRDefault="00193796" w:rsidP="00A91ED9">
            <w:pPr>
              <w:rPr>
                <w:rFonts w:cs="Arial"/>
              </w:rPr>
            </w:pPr>
            <w:r w:rsidRPr="004D1531">
              <w:rPr>
                <w:rFonts w:cs="Arial"/>
              </w:rPr>
              <w:t>(b)     not more than 25% of the average energy content of the product is derived from fat; and</w:t>
            </w:r>
          </w:p>
          <w:p w14:paraId="274D3D70" w14:textId="77777777" w:rsidR="00193796" w:rsidRPr="004D1531" w:rsidRDefault="00193796" w:rsidP="00A91ED9">
            <w:pPr>
              <w:rPr>
                <w:rFonts w:cs="Arial"/>
              </w:rPr>
            </w:pPr>
            <w:r>
              <w:rPr>
                <w:rFonts w:cs="Arial"/>
              </w:rPr>
              <w:t>(c)</w:t>
            </w:r>
            <w:r w:rsidRPr="004D1531">
              <w:rPr>
                <w:rFonts w:cs="Arial"/>
              </w:rPr>
              <w:t xml:space="preserve">     not more than 70% of the average energy content of the product is derived from carbohydrate.</w:t>
            </w:r>
          </w:p>
        </w:tc>
        <w:tc>
          <w:tcPr>
            <w:tcW w:w="2441" w:type="dxa"/>
          </w:tcPr>
          <w:p w14:paraId="593AC2C2" w14:textId="2C2311AA" w:rsidR="00193796" w:rsidRPr="004D1531" w:rsidRDefault="00193796" w:rsidP="00A91ED9">
            <w:pPr>
              <w:rPr>
                <w:rFonts w:cs="Arial"/>
              </w:rPr>
            </w:pPr>
            <w:r>
              <w:rPr>
                <w:rFonts w:cs="Arial"/>
              </w:rPr>
              <w:t>a statement to the effect that t</w:t>
            </w:r>
            <w:r w:rsidRPr="004D1531">
              <w:rPr>
                <w:rFonts w:cs="Arial"/>
              </w:rPr>
              <w:t>he food must be consumed with an appropriate fluid intake.</w:t>
            </w:r>
          </w:p>
        </w:tc>
        <w:tc>
          <w:tcPr>
            <w:tcW w:w="2520" w:type="dxa"/>
          </w:tcPr>
          <w:p w14:paraId="3E4E7AD9" w14:textId="77777777" w:rsidR="00193796" w:rsidRPr="004D1531" w:rsidRDefault="00193796" w:rsidP="00A91ED9">
            <w:pPr>
              <w:rPr>
                <w:rFonts w:cs="Arial"/>
              </w:rPr>
            </w:pPr>
            <w:r w:rsidRPr="004D1531">
              <w:rPr>
                <w:rFonts w:cs="Arial"/>
              </w:rPr>
              <w:t>(a)     the product may assist in providing a low-bulk diet as may be required during training; and</w:t>
            </w:r>
          </w:p>
          <w:p w14:paraId="63CB9FA9" w14:textId="77777777" w:rsidR="00193796" w:rsidRPr="004D1531" w:rsidRDefault="00193796" w:rsidP="00A91ED9">
            <w:pPr>
              <w:rPr>
                <w:rFonts w:cs="Arial"/>
              </w:rPr>
            </w:pPr>
            <w:r w:rsidRPr="004D1531">
              <w:rPr>
                <w:rFonts w:cs="Arial"/>
              </w:rPr>
              <w:t>(b)     the product may assist in supplementing the diet with a high energy source as may be required during training; and</w:t>
            </w:r>
          </w:p>
          <w:p w14:paraId="15B90584" w14:textId="77777777" w:rsidR="00193796" w:rsidRPr="004D1531" w:rsidRDefault="00193796" w:rsidP="00A91ED9">
            <w:pPr>
              <w:rPr>
                <w:rFonts w:cs="Arial"/>
              </w:rPr>
            </w:pPr>
            <w:r>
              <w:rPr>
                <w:rFonts w:cs="Arial"/>
              </w:rPr>
              <w:t>(c)</w:t>
            </w:r>
            <w:r w:rsidRPr="004D1531">
              <w:rPr>
                <w:rFonts w:cs="Arial"/>
              </w:rPr>
              <w:t xml:space="preserve">    usage as directed may assist in the development of muscle bulk; and</w:t>
            </w:r>
          </w:p>
          <w:p w14:paraId="76155ABD" w14:textId="77777777" w:rsidR="00193796" w:rsidRPr="004D1531" w:rsidRDefault="00193796" w:rsidP="00A91ED9">
            <w:pPr>
              <w:rPr>
                <w:rFonts w:cs="Arial"/>
              </w:rPr>
            </w:pPr>
            <w:r w:rsidRPr="004D1531">
              <w:rPr>
                <w:rFonts w:cs="Arial"/>
              </w:rPr>
              <w:t>(d)     the product is useful before, during, or after sustained strenuous exercise.</w:t>
            </w:r>
          </w:p>
        </w:tc>
      </w:tr>
      <w:tr w:rsidR="00193796" w:rsidRPr="00593C41" w14:paraId="212D321E" w14:textId="77777777" w:rsidTr="273439B9">
        <w:tc>
          <w:tcPr>
            <w:tcW w:w="2122" w:type="dxa"/>
          </w:tcPr>
          <w:p w14:paraId="3895C66F" w14:textId="77777777" w:rsidR="00193796" w:rsidRPr="004D1531" w:rsidRDefault="00193796" w:rsidP="00A91ED9">
            <w:pPr>
              <w:rPr>
                <w:rFonts w:cs="Arial"/>
              </w:rPr>
            </w:pPr>
            <w:r w:rsidRPr="004D1531">
              <w:rPr>
                <w:rFonts w:cs="Arial"/>
              </w:rPr>
              <w:t>Energy supplement</w:t>
            </w:r>
          </w:p>
        </w:tc>
        <w:tc>
          <w:tcPr>
            <w:tcW w:w="2268" w:type="dxa"/>
          </w:tcPr>
          <w:p w14:paraId="64EA6059" w14:textId="77777777" w:rsidR="00193796" w:rsidRPr="004D1531" w:rsidRDefault="00193796" w:rsidP="00A91ED9">
            <w:pPr>
              <w:rPr>
                <w:rFonts w:cs="Arial"/>
              </w:rPr>
            </w:pPr>
            <w:r w:rsidRPr="004D1531">
              <w:rPr>
                <w:rFonts w:cs="Arial"/>
              </w:rPr>
              <w:t>not more than 20% of the *average energy content of the food is derived from protein.</w:t>
            </w:r>
          </w:p>
        </w:tc>
        <w:tc>
          <w:tcPr>
            <w:tcW w:w="2441" w:type="dxa"/>
          </w:tcPr>
          <w:p w14:paraId="0E7F0FE0" w14:textId="77777777" w:rsidR="00193796" w:rsidRPr="004D1531" w:rsidRDefault="00193796" w:rsidP="00A91ED9">
            <w:pPr>
              <w:rPr>
                <w:rFonts w:cs="Arial"/>
              </w:rPr>
            </w:pPr>
            <w:r w:rsidRPr="004D1531">
              <w:rPr>
                <w:rFonts w:cs="Arial"/>
              </w:rPr>
              <w:t>(a)     a statement to the effect that, if used during exercise, the food should be consumed in accordance with directions, to avoid the possibility of gastro-intestinal upset; and</w:t>
            </w:r>
          </w:p>
          <w:p w14:paraId="3B90BA2D" w14:textId="77777777" w:rsidR="00193796" w:rsidRPr="004D1531" w:rsidRDefault="00193796" w:rsidP="00A91ED9">
            <w:pPr>
              <w:rPr>
                <w:rFonts w:cs="Arial"/>
              </w:rPr>
            </w:pPr>
            <w:r w:rsidRPr="004D1531">
              <w:rPr>
                <w:rFonts w:cs="Arial"/>
              </w:rPr>
              <w:t>(b)     a statement to the effect that the food must be consumed with an appropriate fluid intake; and</w:t>
            </w:r>
          </w:p>
          <w:p w14:paraId="3A4313DC" w14:textId="77777777" w:rsidR="00193796" w:rsidRPr="004D1531" w:rsidRDefault="00193796" w:rsidP="00A91ED9">
            <w:pPr>
              <w:rPr>
                <w:rFonts w:cs="Arial"/>
              </w:rPr>
            </w:pPr>
            <w:r>
              <w:rPr>
                <w:rFonts w:cs="Arial"/>
              </w:rPr>
              <w:t>(c)</w:t>
            </w:r>
            <w:r w:rsidRPr="004D1531">
              <w:rPr>
                <w:rFonts w:cs="Arial"/>
              </w:rPr>
              <w:t xml:space="preserve">     if more than 30% of the *average energy content of the food is derived from fat—a statement to the effect that the product is a high fat </w:t>
            </w:r>
            <w:r w:rsidRPr="004D1531">
              <w:rPr>
                <w:rFonts w:cs="Arial"/>
              </w:rPr>
              <w:lastRenderedPageBreak/>
              <w:t>food and should be used for special fat loading strategies rather than everyday use.</w:t>
            </w:r>
          </w:p>
        </w:tc>
        <w:tc>
          <w:tcPr>
            <w:tcW w:w="2520" w:type="dxa"/>
          </w:tcPr>
          <w:p w14:paraId="3A5DABA6" w14:textId="77777777" w:rsidR="00193796" w:rsidRPr="004D1531" w:rsidRDefault="00193796" w:rsidP="00A91ED9">
            <w:pPr>
              <w:rPr>
                <w:rFonts w:cs="Arial"/>
              </w:rPr>
            </w:pPr>
            <w:r w:rsidRPr="004D1531">
              <w:rPr>
                <w:rFonts w:cs="Arial"/>
              </w:rPr>
              <w:lastRenderedPageBreak/>
              <w:t>(a)     the product may assist in supplementing the diet with an energy source as may be required during training; and</w:t>
            </w:r>
          </w:p>
          <w:p w14:paraId="368ED925" w14:textId="77777777" w:rsidR="00193796" w:rsidRPr="004D1531" w:rsidRDefault="00193796" w:rsidP="00A91ED9">
            <w:pPr>
              <w:rPr>
                <w:rFonts w:cs="Arial"/>
              </w:rPr>
            </w:pPr>
            <w:r w:rsidRPr="004D1531">
              <w:rPr>
                <w:rFonts w:cs="Arial"/>
              </w:rPr>
              <w:t>(b)     the product is useful before, during or after sustained strenuous exercise.</w:t>
            </w:r>
          </w:p>
        </w:tc>
      </w:tr>
    </w:tbl>
    <w:p w14:paraId="2EB286A7" w14:textId="77777777" w:rsidR="00193796" w:rsidRDefault="00193796" w:rsidP="00816E2A">
      <w:pPr>
        <w:rPr>
          <w:lang w:eastAsia="en-AU" w:bidi="ar-SA"/>
        </w:rPr>
      </w:pPr>
    </w:p>
    <w:p w14:paraId="0EBE7141" w14:textId="53CD0182" w:rsidR="00193796" w:rsidRDefault="00193796" w:rsidP="00251931">
      <w:pPr>
        <w:pStyle w:val="Heading3"/>
      </w:pPr>
      <w:bookmarkStart w:id="76" w:name="_Toc122602237"/>
      <w:r>
        <w:t>Discussion</w:t>
      </w:r>
      <w:bookmarkEnd w:id="76"/>
    </w:p>
    <w:p w14:paraId="326B99D0" w14:textId="38D13FD3" w:rsidR="00193796" w:rsidRDefault="00193796" w:rsidP="00193796">
      <w:pPr>
        <w:spacing w:after="160"/>
        <w:rPr>
          <w:lang w:val="en-NZ"/>
        </w:rPr>
      </w:pPr>
      <w:r>
        <w:rPr>
          <w:lang w:val="en-NZ"/>
        </w:rPr>
        <w:t xml:space="preserve">As outlined above, </w:t>
      </w:r>
      <w:r w:rsidR="005D464B">
        <w:rPr>
          <w:lang w:val="en-NZ"/>
        </w:rPr>
        <w:t>sports foods</w:t>
      </w:r>
      <w:r>
        <w:rPr>
          <w:lang w:val="en-NZ"/>
        </w:rPr>
        <w:t xml:space="preserve"> are subject to labelling requirements in the Code that address potential risks to public health and safety and enable consumers to make informed choices. </w:t>
      </w:r>
    </w:p>
    <w:p w14:paraId="64F881E6" w14:textId="2DC76224" w:rsidR="00193796" w:rsidRDefault="00193796" w:rsidP="00193796">
      <w:pPr>
        <w:spacing w:after="160"/>
      </w:pPr>
      <w:r>
        <w:t xml:space="preserve">Under P1010, FSANZ will consider the interactions between Standard 2.9.4 and other standards in the Code to determine the generic and specific labelling requirements that should apply to </w:t>
      </w:r>
      <w:r w:rsidR="005D464B">
        <w:t>sports foods</w:t>
      </w:r>
      <w:r>
        <w:t xml:space="preserve">. This will include consideration of how the requirements of Standard 1.2.7 – Nutrition, health and related claims could apply to </w:t>
      </w:r>
      <w:r w:rsidR="005D464B">
        <w:t>sports foods</w:t>
      </w:r>
      <w:r>
        <w:t xml:space="preserve">. FSANZ has previously considered claims for </w:t>
      </w:r>
      <w:r w:rsidR="005D464B">
        <w:t>sports foods</w:t>
      </w:r>
      <w:r>
        <w:t xml:space="preserve"> under the 2014 Proposal P1030, which was initially prepared to deliver an interim approach for </w:t>
      </w:r>
      <w:r w:rsidR="004C5329">
        <w:t>sports foods</w:t>
      </w:r>
      <w:r>
        <w:t xml:space="preserve"> and electrolyte drinks pending the future review of Standard 2.9.4. More detail of the revised scope of P1030 is provided in </w:t>
      </w:r>
      <w:r w:rsidR="3DF72339">
        <w:t>s</w:t>
      </w:r>
      <w:r>
        <w:t xml:space="preserve">ection </w:t>
      </w:r>
      <w:r w:rsidR="0077573B">
        <w:t xml:space="preserve">5 </w:t>
      </w:r>
      <w:r>
        <w:t xml:space="preserve">of this </w:t>
      </w:r>
      <w:r w:rsidR="001945D5">
        <w:t>consultation paper</w:t>
      </w:r>
      <w:r>
        <w:t xml:space="preserve">. </w:t>
      </w:r>
    </w:p>
    <w:p w14:paraId="00EB9081" w14:textId="70AC2BAA" w:rsidR="00193796" w:rsidRDefault="7EF38AE1" w:rsidP="273439B9">
      <w:pPr>
        <w:spacing w:after="160"/>
        <w:rPr>
          <w:lang w:val="en-NZ"/>
        </w:rPr>
      </w:pPr>
      <w:r>
        <w:t xml:space="preserve">A more detailed discussion on nutrition and health claims </w:t>
      </w:r>
      <w:r w:rsidR="00662FC6">
        <w:t xml:space="preserve">relating to </w:t>
      </w:r>
      <w:r w:rsidR="00CE4A5F">
        <w:t>sports foods</w:t>
      </w:r>
      <w:r w:rsidR="00662FC6">
        <w:t xml:space="preserve"> </w:t>
      </w:r>
      <w:r>
        <w:t xml:space="preserve">will occur in </w:t>
      </w:r>
      <w:r w:rsidR="00662FC6">
        <w:t xml:space="preserve">a </w:t>
      </w:r>
      <w:r>
        <w:t xml:space="preserve">second consultation paper </w:t>
      </w:r>
      <w:r w:rsidR="00662FC6">
        <w:t xml:space="preserve">expected </w:t>
      </w:r>
      <w:r>
        <w:t xml:space="preserve">in 2023 and will inform the </w:t>
      </w:r>
      <w:r w:rsidR="6A8EF820">
        <w:t>direction of</w:t>
      </w:r>
      <w:r>
        <w:t xml:space="preserve"> the 1</w:t>
      </w:r>
      <w:r w:rsidRPr="273439B9">
        <w:rPr>
          <w:vertAlign w:val="superscript"/>
        </w:rPr>
        <w:t>st</w:t>
      </w:r>
      <w:r>
        <w:t xml:space="preserve"> Call for Submissions. </w:t>
      </w:r>
      <w:r w:rsidR="562A655F">
        <w:t>C</w:t>
      </w:r>
      <w:proofErr w:type="spellStart"/>
      <w:r w:rsidR="00193796" w:rsidRPr="273439B9">
        <w:rPr>
          <w:lang w:val="en-NZ"/>
        </w:rPr>
        <w:t>onsideration</w:t>
      </w:r>
      <w:proofErr w:type="spellEnd"/>
      <w:r w:rsidR="00193796" w:rsidRPr="273439B9">
        <w:rPr>
          <w:lang w:val="en-NZ"/>
        </w:rPr>
        <w:t xml:space="preserve"> of required labelling statements (</w:t>
      </w:r>
      <w:r w:rsidR="512C40CF" w:rsidRPr="273439B9">
        <w:rPr>
          <w:lang w:val="en-NZ"/>
        </w:rPr>
        <w:t>e.g.,</w:t>
      </w:r>
      <w:r w:rsidR="00193796" w:rsidRPr="273439B9">
        <w:rPr>
          <w:lang w:val="en-NZ"/>
        </w:rPr>
        <w:t xml:space="preserve"> advisory and warning statements) for </w:t>
      </w:r>
      <w:r w:rsidR="001A07EF">
        <w:rPr>
          <w:lang w:val="en-NZ"/>
        </w:rPr>
        <w:t>sports foods</w:t>
      </w:r>
      <w:r w:rsidR="00193796" w:rsidRPr="273439B9">
        <w:rPr>
          <w:lang w:val="en-NZ"/>
        </w:rPr>
        <w:t xml:space="preserve"> will be undertaken once the </w:t>
      </w:r>
      <w:r w:rsidR="44833760" w:rsidRPr="273439B9">
        <w:rPr>
          <w:lang w:val="en-NZ"/>
        </w:rPr>
        <w:t xml:space="preserve">formal </w:t>
      </w:r>
      <w:r w:rsidR="00193796" w:rsidRPr="273439B9">
        <w:rPr>
          <w:lang w:val="en-NZ"/>
        </w:rPr>
        <w:t xml:space="preserve">risk assessment has been completed, and the </w:t>
      </w:r>
      <w:r w:rsidR="00193796">
        <w:t>composition</w:t>
      </w:r>
      <w:r w:rsidR="00193796" w:rsidRPr="273439B9">
        <w:rPr>
          <w:lang w:val="en-NZ"/>
        </w:rPr>
        <w:t xml:space="preserve"> requirements of </w:t>
      </w:r>
      <w:r w:rsidR="001A07EF">
        <w:rPr>
          <w:lang w:val="en-NZ"/>
        </w:rPr>
        <w:t>sports foods</w:t>
      </w:r>
      <w:r w:rsidR="00193796" w:rsidRPr="273439B9">
        <w:rPr>
          <w:lang w:val="en-NZ"/>
        </w:rPr>
        <w:t xml:space="preserve"> have been determined.</w:t>
      </w:r>
      <w:r w:rsidR="01CD869E" w:rsidRPr="273439B9">
        <w:rPr>
          <w:lang w:val="en-NZ"/>
        </w:rPr>
        <w:t xml:space="preserve"> </w:t>
      </w:r>
      <w:r w:rsidR="00974162">
        <w:rPr>
          <w:lang w:val="en-NZ"/>
        </w:rPr>
        <w:t xml:space="preserve">To help inform our assessment, </w:t>
      </w:r>
      <w:r w:rsidR="00995760">
        <w:rPr>
          <w:lang w:val="en-NZ"/>
        </w:rPr>
        <w:t xml:space="preserve">FSANZ is seeking stakeholder comments </w:t>
      </w:r>
      <w:r w:rsidR="00974162">
        <w:rPr>
          <w:lang w:val="en-NZ"/>
        </w:rPr>
        <w:t>on the following questions.</w:t>
      </w:r>
    </w:p>
    <w:p w14:paraId="6813B3CF" w14:textId="237B01DA" w:rsidR="00193796" w:rsidRDefault="00193796" w:rsidP="00251931">
      <w:pPr>
        <w:pStyle w:val="Heading3"/>
      </w:pPr>
      <w:bookmarkStart w:id="77" w:name="_Toc122602238"/>
      <w:r>
        <w:t>Questions</w:t>
      </w:r>
      <w:bookmarkEnd w:id="77"/>
    </w:p>
    <w:p w14:paraId="79637F2D" w14:textId="199099D3" w:rsidR="00193796" w:rsidRDefault="009A2030" w:rsidP="009A2030">
      <w:pPr>
        <w:pStyle w:val="FSBullet1"/>
        <w:numPr>
          <w:ilvl w:val="0"/>
          <w:numId w:val="0"/>
        </w:numPr>
        <w:spacing w:before="120" w:after="120"/>
        <w:ind w:left="709" w:hanging="709"/>
        <w:rPr>
          <w:lang w:eastAsia="en-AU"/>
        </w:rPr>
      </w:pPr>
      <w:r>
        <w:rPr>
          <w:lang w:eastAsia="en-AU"/>
        </w:rPr>
        <w:t>Q14.</w:t>
      </w:r>
      <w:r>
        <w:rPr>
          <w:lang w:eastAsia="en-AU"/>
        </w:rPr>
        <w:tab/>
      </w:r>
      <w:r w:rsidR="00193796">
        <w:rPr>
          <w:lang w:eastAsia="en-AU"/>
        </w:rPr>
        <w:t xml:space="preserve">Are the existing labelling requirements in the Code for </w:t>
      </w:r>
      <w:r w:rsidR="001A07EF">
        <w:rPr>
          <w:lang w:eastAsia="en-AU"/>
        </w:rPr>
        <w:t>sports foods</w:t>
      </w:r>
      <w:r w:rsidR="00193796">
        <w:rPr>
          <w:lang w:eastAsia="en-AU"/>
        </w:rPr>
        <w:t xml:space="preserve"> appropriate for managing potential risks to public health and safety?</w:t>
      </w:r>
      <w:r w:rsidR="11009B2C">
        <w:rPr>
          <w:lang w:eastAsia="en-AU"/>
        </w:rPr>
        <w:t xml:space="preserve"> Please provide details on why or why not.</w:t>
      </w:r>
    </w:p>
    <w:p w14:paraId="7912CF1D" w14:textId="42FBFF24" w:rsidR="00193796" w:rsidRPr="009A2030" w:rsidRDefault="009A2030" w:rsidP="009A2030">
      <w:pPr>
        <w:pStyle w:val="FSBullet1"/>
        <w:numPr>
          <w:ilvl w:val="0"/>
          <w:numId w:val="0"/>
        </w:numPr>
        <w:spacing w:before="120" w:after="120"/>
        <w:ind w:left="709" w:hanging="709"/>
        <w:rPr>
          <w:lang w:eastAsia="en-AU"/>
        </w:rPr>
      </w:pPr>
      <w:r>
        <w:rPr>
          <w:lang w:eastAsia="en-AU"/>
        </w:rPr>
        <w:t>Q15.</w:t>
      </w:r>
      <w:r>
        <w:rPr>
          <w:lang w:eastAsia="en-AU"/>
        </w:rPr>
        <w:tab/>
      </w:r>
      <w:r w:rsidR="00193796">
        <w:rPr>
          <w:lang w:eastAsia="en-AU"/>
        </w:rPr>
        <w:t xml:space="preserve">What are your views on the relevance to </w:t>
      </w:r>
      <w:r w:rsidR="001A07EF">
        <w:rPr>
          <w:lang w:eastAsia="en-AU"/>
        </w:rPr>
        <w:t>sports foods</w:t>
      </w:r>
      <w:r w:rsidR="00193796">
        <w:rPr>
          <w:lang w:eastAsia="en-AU"/>
        </w:rPr>
        <w:t xml:space="preserve"> of the </w:t>
      </w:r>
      <w:r w:rsidR="00085065">
        <w:rPr>
          <w:lang w:eastAsia="en-AU"/>
        </w:rPr>
        <w:t xml:space="preserve">existing </w:t>
      </w:r>
      <w:r w:rsidR="00193796" w:rsidRPr="009A2030">
        <w:rPr>
          <w:lang w:eastAsia="en-AU"/>
        </w:rPr>
        <w:t>warning</w:t>
      </w:r>
      <w:r w:rsidR="00193796">
        <w:rPr>
          <w:lang w:eastAsia="en-AU"/>
        </w:rPr>
        <w:t xml:space="preserve"> </w:t>
      </w:r>
      <w:r w:rsidR="00193796" w:rsidRPr="009A2030">
        <w:rPr>
          <w:lang w:eastAsia="en-AU"/>
        </w:rPr>
        <w:t xml:space="preserve">statement </w:t>
      </w:r>
      <w:r w:rsidR="00974162" w:rsidRPr="009A2030">
        <w:rPr>
          <w:lang w:eastAsia="en-AU"/>
        </w:rPr>
        <w:t xml:space="preserve">and </w:t>
      </w:r>
      <w:r w:rsidR="00974162">
        <w:rPr>
          <w:lang w:eastAsia="en-AU"/>
        </w:rPr>
        <w:t>advisory statements</w:t>
      </w:r>
      <w:r w:rsidR="00193796" w:rsidRPr="009A2030">
        <w:rPr>
          <w:lang w:eastAsia="en-AU"/>
        </w:rPr>
        <w:t>?</w:t>
      </w:r>
      <w:r w:rsidR="00C83CC5" w:rsidRPr="009A2030">
        <w:rPr>
          <w:lang w:eastAsia="en-AU"/>
        </w:rPr>
        <w:t xml:space="preserve"> Please provide reasons for your view.</w:t>
      </w:r>
    </w:p>
    <w:p w14:paraId="61A08FC8" w14:textId="2EDD949E" w:rsidR="00193796" w:rsidRDefault="009A2030" w:rsidP="009A2030">
      <w:pPr>
        <w:pStyle w:val="FSBullet1"/>
        <w:numPr>
          <w:ilvl w:val="0"/>
          <w:numId w:val="0"/>
        </w:numPr>
        <w:spacing w:before="120" w:after="120"/>
        <w:ind w:left="709" w:hanging="709"/>
        <w:rPr>
          <w:lang w:eastAsia="en-AU"/>
        </w:rPr>
      </w:pPr>
      <w:r>
        <w:rPr>
          <w:lang w:eastAsia="en-AU"/>
        </w:rPr>
        <w:t>Q16.</w:t>
      </w:r>
      <w:r>
        <w:rPr>
          <w:lang w:eastAsia="en-AU"/>
        </w:rPr>
        <w:tab/>
      </w:r>
      <w:r w:rsidR="00193796">
        <w:rPr>
          <w:lang w:eastAsia="en-AU"/>
        </w:rPr>
        <w:t xml:space="preserve">Please discuss whether you think the existing labelling requirements for </w:t>
      </w:r>
      <w:r w:rsidR="003B16E5">
        <w:rPr>
          <w:lang w:eastAsia="en-AU"/>
        </w:rPr>
        <w:t>sports foods</w:t>
      </w:r>
      <w:r w:rsidR="00193796">
        <w:rPr>
          <w:lang w:eastAsia="en-AU"/>
        </w:rPr>
        <w:t xml:space="preserve"> enable consumers to make informed choices.</w:t>
      </w:r>
      <w:r w:rsidR="00C83CC5">
        <w:rPr>
          <w:lang w:eastAsia="en-AU"/>
        </w:rPr>
        <w:t xml:space="preserve"> </w:t>
      </w:r>
      <w:r w:rsidR="00C83CC5" w:rsidRPr="009A2030">
        <w:rPr>
          <w:lang w:eastAsia="en-AU"/>
        </w:rPr>
        <w:t>Please provide reasons for your view.</w:t>
      </w:r>
    </w:p>
    <w:p w14:paraId="67B8DC6C" w14:textId="6775586B" w:rsidR="00193796" w:rsidRDefault="009A2030" w:rsidP="009A2030">
      <w:pPr>
        <w:pStyle w:val="FSBullet1"/>
        <w:numPr>
          <w:ilvl w:val="0"/>
          <w:numId w:val="0"/>
        </w:numPr>
        <w:spacing w:before="120" w:after="120"/>
        <w:ind w:left="709" w:hanging="709"/>
        <w:rPr>
          <w:lang w:eastAsia="en-AU"/>
        </w:rPr>
      </w:pPr>
      <w:r>
        <w:rPr>
          <w:lang w:eastAsia="en-AU"/>
        </w:rPr>
        <w:t>Q17.</w:t>
      </w:r>
      <w:r>
        <w:rPr>
          <w:lang w:eastAsia="en-AU"/>
        </w:rPr>
        <w:tab/>
      </w:r>
      <w:r w:rsidR="00193796">
        <w:rPr>
          <w:lang w:eastAsia="en-AU"/>
        </w:rPr>
        <w:t xml:space="preserve">What are your views on the usefulness of the labelling statements in Division 3 for particular </w:t>
      </w:r>
      <w:r w:rsidR="00370C2E">
        <w:rPr>
          <w:lang w:eastAsia="en-AU"/>
        </w:rPr>
        <w:t>sports foods</w:t>
      </w:r>
      <w:r w:rsidR="00193796">
        <w:rPr>
          <w:lang w:eastAsia="en-AU"/>
        </w:rPr>
        <w:t xml:space="preserve"> (high carbohydrate supplement, protein energy supplement, energy supplement)?</w:t>
      </w:r>
      <w:r w:rsidR="00C83CC5">
        <w:rPr>
          <w:lang w:eastAsia="en-AU"/>
        </w:rPr>
        <w:t xml:space="preserve"> </w:t>
      </w:r>
      <w:r w:rsidR="00C83CC5" w:rsidRPr="009A2030">
        <w:rPr>
          <w:lang w:eastAsia="en-AU"/>
        </w:rPr>
        <w:t>Please provide reasons for your view.</w:t>
      </w:r>
    </w:p>
    <w:p w14:paraId="39ED033C" w14:textId="11E6A980" w:rsidR="00193796" w:rsidRPr="00C05217" w:rsidRDefault="009A2030" w:rsidP="009A2030">
      <w:pPr>
        <w:pStyle w:val="FSBullet1"/>
        <w:numPr>
          <w:ilvl w:val="0"/>
          <w:numId w:val="0"/>
        </w:numPr>
        <w:spacing w:before="120" w:after="120"/>
        <w:ind w:left="709" w:hanging="709"/>
        <w:rPr>
          <w:lang w:eastAsia="en-AU"/>
        </w:rPr>
      </w:pPr>
      <w:r>
        <w:rPr>
          <w:lang w:eastAsia="en-AU"/>
        </w:rPr>
        <w:t>Q18.</w:t>
      </w:r>
      <w:r>
        <w:rPr>
          <w:lang w:eastAsia="en-AU"/>
        </w:rPr>
        <w:tab/>
      </w:r>
      <w:r w:rsidR="00193796">
        <w:rPr>
          <w:lang w:eastAsia="en-AU"/>
        </w:rPr>
        <w:t xml:space="preserve">Have you identified issues on any other labelling aspects specific to </w:t>
      </w:r>
      <w:r w:rsidR="00370C2E">
        <w:rPr>
          <w:lang w:eastAsia="en-AU"/>
        </w:rPr>
        <w:t>sports foods</w:t>
      </w:r>
      <w:r w:rsidR="00193796">
        <w:rPr>
          <w:lang w:eastAsia="en-AU"/>
        </w:rPr>
        <w:t>? Please provide detail.</w:t>
      </w:r>
    </w:p>
    <w:p w14:paraId="4102C257" w14:textId="2B30EABC" w:rsidR="00193796" w:rsidRDefault="009A2030" w:rsidP="009A2030">
      <w:pPr>
        <w:pStyle w:val="FSBullet1"/>
        <w:numPr>
          <w:ilvl w:val="0"/>
          <w:numId w:val="0"/>
        </w:numPr>
        <w:spacing w:before="120" w:after="120"/>
        <w:ind w:left="709" w:hanging="709"/>
        <w:rPr>
          <w:lang w:eastAsia="en-AU"/>
        </w:rPr>
      </w:pPr>
      <w:r>
        <w:rPr>
          <w:lang w:eastAsia="en-AU"/>
        </w:rPr>
        <w:t>Q19.</w:t>
      </w:r>
      <w:r>
        <w:rPr>
          <w:lang w:eastAsia="en-AU"/>
        </w:rPr>
        <w:tab/>
      </w:r>
      <w:r w:rsidR="00193796">
        <w:rPr>
          <w:lang w:eastAsia="en-AU"/>
        </w:rPr>
        <w:t xml:space="preserve">To inform the scope of the second consultation paper, do you have any views on </w:t>
      </w:r>
      <w:r w:rsidR="00CB2240">
        <w:rPr>
          <w:lang w:eastAsia="en-AU"/>
        </w:rPr>
        <w:t>how</w:t>
      </w:r>
      <w:r w:rsidR="00193796">
        <w:rPr>
          <w:lang w:eastAsia="en-AU"/>
        </w:rPr>
        <w:t xml:space="preserve"> Standard 1.2.7 – Nutrition, health and related claims could apply to </w:t>
      </w:r>
      <w:r w:rsidR="00370C2E">
        <w:rPr>
          <w:lang w:eastAsia="en-AU"/>
        </w:rPr>
        <w:t>sports foods</w:t>
      </w:r>
      <w:r w:rsidR="00193796">
        <w:rPr>
          <w:lang w:eastAsia="en-AU"/>
        </w:rPr>
        <w:t>?</w:t>
      </w:r>
    </w:p>
    <w:p w14:paraId="64BADAEB" w14:textId="6BC9664E" w:rsidR="00193796" w:rsidRDefault="00193796" w:rsidP="00193796">
      <w:pPr>
        <w:pStyle w:val="Heading1"/>
        <w:rPr>
          <w:lang w:eastAsia="en-AU"/>
        </w:rPr>
      </w:pPr>
      <w:bookmarkStart w:id="78" w:name="_Toc122602239"/>
      <w:r w:rsidRPr="4DBF8B01">
        <w:rPr>
          <w:lang w:eastAsia="en-AU"/>
        </w:rPr>
        <w:t>Questions summary</w:t>
      </w:r>
      <w:bookmarkEnd w:id="78"/>
    </w:p>
    <w:p w14:paraId="344EE890" w14:textId="17F68D1D" w:rsidR="00193796" w:rsidRPr="00926B84" w:rsidRDefault="004B7295" w:rsidP="002F7AC1">
      <w:pPr>
        <w:spacing w:before="120" w:after="120"/>
        <w:rPr>
          <w:b/>
          <w:bCs/>
          <w:i/>
          <w:iCs/>
        </w:rPr>
      </w:pPr>
      <w:r>
        <w:rPr>
          <w:i/>
          <w:iCs/>
        </w:rPr>
        <w:t>Market Overview</w:t>
      </w:r>
    </w:p>
    <w:p w14:paraId="69B05074" w14:textId="6BC045BC" w:rsidR="00626433" w:rsidRPr="002F7AC1" w:rsidRDefault="00AA0E91" w:rsidP="00AA0E91">
      <w:pPr>
        <w:pStyle w:val="FSBullet1"/>
        <w:numPr>
          <w:ilvl w:val="0"/>
          <w:numId w:val="0"/>
        </w:numPr>
        <w:spacing w:before="120" w:after="120"/>
        <w:ind w:left="709" w:hanging="567"/>
        <w:rPr>
          <w:lang w:val="en-AU" w:eastAsia="en-AU"/>
        </w:rPr>
      </w:pPr>
      <w:r>
        <w:rPr>
          <w:lang w:val="en-AU" w:eastAsia="en-AU"/>
        </w:rPr>
        <w:t>Q1.</w:t>
      </w:r>
      <w:r>
        <w:rPr>
          <w:lang w:val="en-AU" w:eastAsia="en-AU"/>
        </w:rPr>
        <w:tab/>
      </w:r>
      <w:r w:rsidR="00626433" w:rsidRPr="002F7AC1">
        <w:rPr>
          <w:lang w:val="en-AU" w:eastAsia="en-AU"/>
        </w:rPr>
        <w:t>For industry or regulators, do you have market or product data or information that you would like to provide to update FSANZ’s understanding of the current market in Australia, New Zealand or globally?</w:t>
      </w:r>
    </w:p>
    <w:p w14:paraId="3F9C17A8" w14:textId="77777777" w:rsidR="00193796" w:rsidRPr="007F04E9" w:rsidRDefault="00193796" w:rsidP="002F7AC1">
      <w:pPr>
        <w:spacing w:before="120" w:after="120"/>
        <w:rPr>
          <w:i/>
          <w:iCs/>
        </w:rPr>
      </w:pPr>
      <w:r w:rsidRPr="00926B84">
        <w:rPr>
          <w:i/>
          <w:iCs/>
        </w:rPr>
        <w:lastRenderedPageBreak/>
        <w:t>Definitions</w:t>
      </w:r>
    </w:p>
    <w:p w14:paraId="3593ABCB" w14:textId="7EAB00EC" w:rsidR="00626433" w:rsidRPr="00AA0E91" w:rsidRDefault="00AA0E91" w:rsidP="00AA0E91">
      <w:pPr>
        <w:pStyle w:val="FSBullet1"/>
        <w:numPr>
          <w:ilvl w:val="0"/>
          <w:numId w:val="0"/>
        </w:numPr>
        <w:spacing w:before="120" w:after="120"/>
        <w:ind w:left="709" w:hanging="567"/>
        <w:rPr>
          <w:lang w:val="en-AU" w:eastAsia="en-AU"/>
        </w:rPr>
      </w:pPr>
      <w:r>
        <w:rPr>
          <w:lang w:val="en-AU" w:eastAsia="en-AU"/>
        </w:rPr>
        <w:t>Q2.</w:t>
      </w:r>
      <w:r>
        <w:rPr>
          <w:lang w:val="en-AU" w:eastAsia="en-AU"/>
        </w:rPr>
        <w:tab/>
      </w:r>
      <w:r w:rsidR="00626433" w:rsidRPr="00AA0E91">
        <w:rPr>
          <w:lang w:val="en-AU" w:eastAsia="en-AU"/>
        </w:rPr>
        <w:t>As a consumer, regulator or industry stakeholder, have you identified any issues resulting from the definitions in the Code? If so, what are they and why are they an issue?</w:t>
      </w:r>
    </w:p>
    <w:p w14:paraId="7D324F87" w14:textId="73FF781B" w:rsidR="00626433" w:rsidRPr="00AA0E91" w:rsidRDefault="00AA0E91" w:rsidP="00AA0E91">
      <w:pPr>
        <w:pStyle w:val="FSBullet1"/>
        <w:numPr>
          <w:ilvl w:val="0"/>
          <w:numId w:val="0"/>
        </w:numPr>
        <w:spacing w:before="120" w:after="120"/>
        <w:ind w:left="709" w:hanging="567"/>
        <w:rPr>
          <w:lang w:val="en-AU" w:eastAsia="en-AU"/>
        </w:rPr>
      </w:pPr>
      <w:r>
        <w:rPr>
          <w:lang w:val="en-AU" w:eastAsia="en-AU"/>
        </w:rPr>
        <w:t>Q3.</w:t>
      </w:r>
      <w:r>
        <w:rPr>
          <w:lang w:val="en-AU" w:eastAsia="en-AU"/>
        </w:rPr>
        <w:tab/>
      </w:r>
      <w:r w:rsidR="00626433" w:rsidRPr="00AA0E91">
        <w:rPr>
          <w:lang w:val="en-AU" w:eastAsia="en-AU"/>
        </w:rPr>
        <w:t xml:space="preserve">For industry and regulators, how should proprietary blends or stacks best be regulated and why? </w:t>
      </w:r>
    </w:p>
    <w:p w14:paraId="0E21E482" w14:textId="42C7D090" w:rsidR="00626433" w:rsidRPr="00AA0E91" w:rsidRDefault="00AA0E91" w:rsidP="00AA0E91">
      <w:pPr>
        <w:pStyle w:val="FSBullet1"/>
        <w:numPr>
          <w:ilvl w:val="0"/>
          <w:numId w:val="0"/>
        </w:numPr>
        <w:spacing w:before="120" w:after="120"/>
        <w:ind w:left="709" w:hanging="567"/>
        <w:rPr>
          <w:lang w:val="en-AU" w:eastAsia="en-AU"/>
        </w:rPr>
      </w:pPr>
      <w:r>
        <w:rPr>
          <w:lang w:val="en-AU" w:eastAsia="en-AU"/>
        </w:rPr>
        <w:t>Q4.</w:t>
      </w:r>
      <w:r>
        <w:rPr>
          <w:lang w:val="en-AU" w:eastAsia="en-AU"/>
        </w:rPr>
        <w:tab/>
      </w:r>
      <w:r w:rsidR="00626433" w:rsidRPr="00AA0E91">
        <w:rPr>
          <w:lang w:val="en-AU" w:eastAsia="en-AU"/>
        </w:rPr>
        <w:t>For all, should the Code retain the existing definitions in Standard 2.9.4? If so, why and if not, why not?</w:t>
      </w:r>
    </w:p>
    <w:p w14:paraId="4C666315" w14:textId="113E8893" w:rsidR="00193796" w:rsidRDefault="00193796" w:rsidP="002F7AC1">
      <w:pPr>
        <w:spacing w:before="120" w:after="120"/>
        <w:rPr>
          <w:i/>
          <w:iCs/>
        </w:rPr>
      </w:pPr>
      <w:r w:rsidRPr="273439B9">
        <w:rPr>
          <w:i/>
          <w:iCs/>
        </w:rPr>
        <w:t>Current Compositional Permissions</w:t>
      </w:r>
    </w:p>
    <w:p w14:paraId="61A002B7" w14:textId="31C08B4E" w:rsidR="00ED4C94" w:rsidRPr="00AA0E91" w:rsidRDefault="00AA0E91" w:rsidP="00AA0E91">
      <w:pPr>
        <w:pStyle w:val="FSBullet1"/>
        <w:numPr>
          <w:ilvl w:val="0"/>
          <w:numId w:val="0"/>
        </w:numPr>
        <w:spacing w:before="120" w:after="120"/>
        <w:ind w:left="709" w:hanging="567"/>
        <w:rPr>
          <w:lang w:eastAsia="en-AU"/>
        </w:rPr>
      </w:pPr>
      <w:r>
        <w:rPr>
          <w:lang w:eastAsia="en-AU"/>
        </w:rPr>
        <w:t>Q5.</w:t>
      </w:r>
      <w:r>
        <w:rPr>
          <w:lang w:eastAsia="en-AU"/>
        </w:rPr>
        <w:tab/>
      </w:r>
      <w:r w:rsidR="00ED4C94" w:rsidRPr="00AA0E91">
        <w:rPr>
          <w:lang w:eastAsia="en-AU"/>
        </w:rPr>
        <w:t xml:space="preserve">Would a tiered approach to regulation based on composition improve public health and safety for consumers, while allowing for innovation (e.g. </w:t>
      </w:r>
      <w:r w:rsidR="00ED4C94" w:rsidRPr="00AA0E91">
        <w:rPr>
          <w:lang w:val="en-AU" w:eastAsia="en-AU"/>
        </w:rPr>
        <w:t>provisions for ‘high risk’ substances, restriction on sale, differing labelling requirements or compositional deviation)</w:t>
      </w:r>
      <w:r w:rsidR="00ED4C94" w:rsidRPr="00AA0E91">
        <w:rPr>
          <w:lang w:eastAsia="en-AU"/>
        </w:rPr>
        <w:t>? If so, how could it look? How could high, medium and low risk products be differentiated? What requirements could apply to each and why (e.g. pre-market assessment, compositional and labelling requirements)?</w:t>
      </w:r>
    </w:p>
    <w:p w14:paraId="52950437" w14:textId="573CCF0C" w:rsidR="00ED4C94" w:rsidRPr="00AA0E91" w:rsidRDefault="00AA0E91" w:rsidP="00AA0E91">
      <w:pPr>
        <w:pStyle w:val="FSBullet1"/>
        <w:numPr>
          <w:ilvl w:val="0"/>
          <w:numId w:val="0"/>
        </w:numPr>
        <w:spacing w:before="120" w:after="120"/>
        <w:ind w:left="709" w:hanging="567"/>
        <w:rPr>
          <w:lang w:eastAsia="en-AU"/>
        </w:rPr>
      </w:pPr>
      <w:r>
        <w:rPr>
          <w:lang w:eastAsia="en-AU"/>
        </w:rPr>
        <w:t>Q6.</w:t>
      </w:r>
      <w:r>
        <w:rPr>
          <w:lang w:eastAsia="en-AU"/>
        </w:rPr>
        <w:tab/>
      </w:r>
      <w:r w:rsidR="00ED4C94" w:rsidRPr="00AA0E91">
        <w:rPr>
          <w:lang w:eastAsia="en-AU"/>
        </w:rPr>
        <w:t>Is there any evidence that current practice in relation to analogues and derivatives pose a health concern or risk? If you consider that there is a health concern or risk, please provide relevant details and data, where available. </w:t>
      </w:r>
    </w:p>
    <w:p w14:paraId="39CF94BD" w14:textId="5D37DFC3" w:rsidR="00ED4C94" w:rsidRPr="00AA0E91" w:rsidRDefault="00AA0E91" w:rsidP="00AA0E91">
      <w:pPr>
        <w:pStyle w:val="FSBullet1"/>
        <w:numPr>
          <w:ilvl w:val="0"/>
          <w:numId w:val="0"/>
        </w:numPr>
        <w:spacing w:before="120" w:after="120"/>
        <w:ind w:left="709" w:hanging="567"/>
        <w:rPr>
          <w:lang w:eastAsia="en-AU"/>
        </w:rPr>
      </w:pPr>
      <w:r>
        <w:rPr>
          <w:lang w:eastAsia="en-AU"/>
        </w:rPr>
        <w:t>Q7.</w:t>
      </w:r>
      <w:r>
        <w:rPr>
          <w:lang w:eastAsia="en-AU"/>
        </w:rPr>
        <w:tab/>
      </w:r>
      <w:r w:rsidR="00ED4C94" w:rsidRPr="00AA0E91">
        <w:rPr>
          <w:lang w:eastAsia="en-AU"/>
        </w:rPr>
        <w:t>Is there any evidence in current research in relation to known analogues and derivates that pose a health concern or risk? If you consider that there is a health concern or risk, please provide relevant details and data, where available. </w:t>
      </w:r>
    </w:p>
    <w:p w14:paraId="6B89D992" w14:textId="26D5BE1A" w:rsidR="00ED4C94" w:rsidRPr="00F76F05" w:rsidRDefault="00AA0E91" w:rsidP="00AA0E91">
      <w:pPr>
        <w:pStyle w:val="FSBullet1"/>
        <w:numPr>
          <w:ilvl w:val="0"/>
          <w:numId w:val="0"/>
        </w:numPr>
        <w:spacing w:before="120" w:after="120"/>
        <w:ind w:left="709" w:hanging="567"/>
        <w:rPr>
          <w:lang w:eastAsia="en-AU"/>
        </w:rPr>
      </w:pPr>
      <w:r>
        <w:rPr>
          <w:lang w:eastAsia="en-AU"/>
        </w:rPr>
        <w:t>Q8.</w:t>
      </w:r>
      <w:r>
        <w:rPr>
          <w:lang w:eastAsia="en-AU"/>
        </w:rPr>
        <w:tab/>
      </w:r>
      <w:r w:rsidR="00ED4C94">
        <w:rPr>
          <w:lang w:eastAsia="en-AU"/>
        </w:rPr>
        <w:t>How could the Code assist in reducing the risk to consumers who are stacking sport food products and potentially consuming more than the maximum amount permitted by Standard 2.9.4 in the Code?</w:t>
      </w:r>
    </w:p>
    <w:p w14:paraId="226C97BF" w14:textId="0622273F" w:rsidR="00ED4C94" w:rsidRPr="00F76F05" w:rsidRDefault="00AA0E91" w:rsidP="00AA0E91">
      <w:pPr>
        <w:pStyle w:val="FSBullet1"/>
        <w:numPr>
          <w:ilvl w:val="0"/>
          <w:numId w:val="0"/>
        </w:numPr>
        <w:spacing w:before="120" w:after="120"/>
        <w:ind w:left="709" w:hanging="567"/>
        <w:rPr>
          <w:lang w:eastAsia="en-AU"/>
        </w:rPr>
      </w:pPr>
      <w:r>
        <w:rPr>
          <w:lang w:eastAsia="en-AU"/>
        </w:rPr>
        <w:t>Q9.</w:t>
      </w:r>
      <w:r>
        <w:rPr>
          <w:lang w:eastAsia="en-AU"/>
        </w:rPr>
        <w:tab/>
      </w:r>
      <w:r w:rsidR="00ED4C94">
        <w:rPr>
          <w:lang w:eastAsia="en-AU"/>
        </w:rPr>
        <w:t>To what extent are vulnerable consumers regularly consuming sports foods? Please provide evidence.</w:t>
      </w:r>
    </w:p>
    <w:p w14:paraId="3B064ED5" w14:textId="5821F5B4" w:rsidR="00ED4C94" w:rsidRPr="00ED1E32" w:rsidRDefault="00AA0E91" w:rsidP="00AA0E91">
      <w:pPr>
        <w:pStyle w:val="FSBullet1"/>
        <w:numPr>
          <w:ilvl w:val="0"/>
          <w:numId w:val="0"/>
        </w:numPr>
        <w:spacing w:before="120" w:after="120"/>
        <w:ind w:left="709" w:hanging="567"/>
        <w:rPr>
          <w:lang w:eastAsia="en-AU"/>
        </w:rPr>
      </w:pPr>
      <w:r>
        <w:rPr>
          <w:lang w:eastAsia="en-AU"/>
        </w:rPr>
        <w:t>Q10.</w:t>
      </w:r>
      <w:r>
        <w:rPr>
          <w:lang w:eastAsia="en-AU"/>
        </w:rPr>
        <w:tab/>
      </w:r>
      <w:r w:rsidR="00ED4C94">
        <w:rPr>
          <w:lang w:eastAsia="en-AU"/>
        </w:rPr>
        <w:t xml:space="preserve">Do the current definitions and compositional and labelling requirements in the Code relating to </w:t>
      </w:r>
      <w:r w:rsidR="00370C2E">
        <w:rPr>
          <w:lang w:eastAsia="en-AU"/>
        </w:rPr>
        <w:t>sports foods</w:t>
      </w:r>
      <w:r w:rsidR="00ED4C94">
        <w:rPr>
          <w:lang w:eastAsia="en-AU"/>
        </w:rPr>
        <w:t xml:space="preserve"> pose any difficulties in compliance or enforcement? If yes, please provide reasons why and examples.</w:t>
      </w:r>
    </w:p>
    <w:p w14:paraId="7B3C0637" w14:textId="50D48B1E" w:rsidR="00193796" w:rsidRDefault="00193796" w:rsidP="002F7AC1">
      <w:pPr>
        <w:spacing w:before="120" w:after="120"/>
        <w:rPr>
          <w:rStyle w:val="eop"/>
          <w:rFonts w:eastAsiaTheme="minorEastAsia"/>
          <w:lang w:val="en-AU"/>
        </w:rPr>
      </w:pPr>
      <w:r w:rsidRPr="273439B9">
        <w:rPr>
          <w:i/>
          <w:iCs/>
        </w:rPr>
        <w:t>Electrolyte Drinks</w:t>
      </w:r>
      <w:r w:rsidRPr="273439B9">
        <w:rPr>
          <w:rStyle w:val="eop"/>
          <w:rFonts w:eastAsiaTheme="minorEastAsia"/>
          <w:lang w:val="en-AU"/>
        </w:rPr>
        <w:t xml:space="preserve"> </w:t>
      </w:r>
    </w:p>
    <w:p w14:paraId="53863F26" w14:textId="74AF32D6" w:rsidR="00ED4C94" w:rsidRPr="00AA0E91" w:rsidRDefault="00AA0E91" w:rsidP="00AA0E91">
      <w:pPr>
        <w:pStyle w:val="FSBullet1"/>
        <w:numPr>
          <w:ilvl w:val="0"/>
          <w:numId w:val="0"/>
        </w:numPr>
        <w:spacing w:before="120" w:after="120"/>
        <w:ind w:left="709" w:hanging="567"/>
        <w:rPr>
          <w:lang w:eastAsia="en-AU"/>
        </w:rPr>
      </w:pPr>
      <w:r>
        <w:rPr>
          <w:lang w:eastAsia="en-AU"/>
        </w:rPr>
        <w:t>Q11.</w:t>
      </w:r>
      <w:r>
        <w:rPr>
          <w:lang w:eastAsia="en-AU"/>
        </w:rPr>
        <w:tab/>
      </w:r>
      <w:r w:rsidR="00ED4C94" w:rsidRPr="00AA0E91">
        <w:rPr>
          <w:lang w:eastAsia="en-AU"/>
        </w:rPr>
        <w:t xml:space="preserve">If the existing requirements for electrolyte drinks were transferred to a special purpose food standard (i.e. under Standard 2.9.4), what impacts (positive or negative) might this have on industry, regulators and/or consumers? </w:t>
      </w:r>
    </w:p>
    <w:p w14:paraId="6031729D" w14:textId="39195A02" w:rsidR="00ED4C94" w:rsidRPr="00AA0E91" w:rsidRDefault="00AA0E91" w:rsidP="00AA0E91">
      <w:pPr>
        <w:pStyle w:val="FSBullet1"/>
        <w:numPr>
          <w:ilvl w:val="0"/>
          <w:numId w:val="0"/>
        </w:numPr>
        <w:spacing w:before="120" w:after="120"/>
        <w:ind w:left="709" w:hanging="567"/>
        <w:rPr>
          <w:lang w:eastAsia="en-AU"/>
        </w:rPr>
      </w:pPr>
      <w:r>
        <w:rPr>
          <w:lang w:eastAsia="en-AU"/>
        </w:rPr>
        <w:t>Q12.</w:t>
      </w:r>
      <w:r>
        <w:rPr>
          <w:lang w:eastAsia="en-AU"/>
        </w:rPr>
        <w:tab/>
      </w:r>
      <w:r w:rsidR="00ED4C94" w:rsidRPr="00AA0E91">
        <w:rPr>
          <w:lang w:eastAsia="en-AU"/>
        </w:rPr>
        <w:t>If electrolyte drinks were to remain a general purpose food (i.e. under Standard 2.6.2) what impacts (positive or negative) would this have on industry, regulators and/or consumers?</w:t>
      </w:r>
    </w:p>
    <w:p w14:paraId="6406DAC2" w14:textId="0539BCDF" w:rsidR="00ED4C94" w:rsidRPr="00AA0E91" w:rsidRDefault="00AA0E91" w:rsidP="00AA0E91">
      <w:pPr>
        <w:pStyle w:val="FSBullet1"/>
        <w:numPr>
          <w:ilvl w:val="0"/>
          <w:numId w:val="0"/>
        </w:numPr>
        <w:spacing w:before="120" w:after="120"/>
        <w:ind w:left="709" w:hanging="567"/>
        <w:rPr>
          <w:lang w:eastAsia="en-AU"/>
        </w:rPr>
      </w:pPr>
      <w:r>
        <w:rPr>
          <w:lang w:eastAsia="en-AU"/>
        </w:rPr>
        <w:t>Q13.</w:t>
      </w:r>
      <w:r>
        <w:rPr>
          <w:lang w:eastAsia="en-AU"/>
        </w:rPr>
        <w:tab/>
      </w:r>
      <w:r w:rsidR="00ED4C94" w:rsidRPr="00AA0E91">
        <w:rPr>
          <w:lang w:eastAsia="en-AU"/>
        </w:rPr>
        <w:t xml:space="preserve">How would transferring electrolyte drinks to Standard 2.9.4 impact consumer messaging around their purpose and use? Please provide reasons for your view. </w:t>
      </w:r>
    </w:p>
    <w:p w14:paraId="7A4A6DC6" w14:textId="4175C8B4" w:rsidR="00193796" w:rsidRDefault="00193796" w:rsidP="002F7AC1">
      <w:pPr>
        <w:spacing w:before="120" w:after="120"/>
        <w:rPr>
          <w:i/>
          <w:iCs/>
        </w:rPr>
      </w:pPr>
      <w:r w:rsidRPr="273439B9">
        <w:rPr>
          <w:i/>
          <w:iCs/>
        </w:rPr>
        <w:t>Labelling</w:t>
      </w:r>
    </w:p>
    <w:p w14:paraId="389B6835" w14:textId="6D194F3A" w:rsidR="00B41BDA" w:rsidRDefault="009A2030" w:rsidP="009A2030">
      <w:pPr>
        <w:pStyle w:val="FSBullet1"/>
        <w:numPr>
          <w:ilvl w:val="0"/>
          <w:numId w:val="0"/>
        </w:numPr>
        <w:spacing w:before="120" w:after="120"/>
        <w:ind w:left="709" w:hanging="567"/>
        <w:rPr>
          <w:lang w:eastAsia="en-AU"/>
        </w:rPr>
      </w:pPr>
      <w:r>
        <w:rPr>
          <w:lang w:eastAsia="en-AU"/>
        </w:rPr>
        <w:t>Q14.</w:t>
      </w:r>
      <w:r>
        <w:rPr>
          <w:lang w:eastAsia="en-AU"/>
        </w:rPr>
        <w:tab/>
      </w:r>
      <w:r w:rsidR="00B41BDA">
        <w:rPr>
          <w:lang w:eastAsia="en-AU"/>
        </w:rPr>
        <w:t xml:space="preserve">Are the existing labelling requirements in the Code for </w:t>
      </w:r>
      <w:r w:rsidR="00915802">
        <w:rPr>
          <w:lang w:eastAsia="en-AU"/>
        </w:rPr>
        <w:t xml:space="preserve">sports foods </w:t>
      </w:r>
      <w:r w:rsidR="00B41BDA">
        <w:rPr>
          <w:lang w:eastAsia="en-AU"/>
        </w:rPr>
        <w:t>appropriate for managing potential risks to public health and safety? Please provide details on why or why not.</w:t>
      </w:r>
    </w:p>
    <w:p w14:paraId="3CF983F5" w14:textId="7B22944F" w:rsidR="00B41BDA" w:rsidRPr="009A2030" w:rsidRDefault="009A2030" w:rsidP="009A2030">
      <w:pPr>
        <w:pStyle w:val="FSBullet1"/>
        <w:numPr>
          <w:ilvl w:val="0"/>
          <w:numId w:val="0"/>
        </w:numPr>
        <w:spacing w:before="120" w:after="120"/>
        <w:ind w:left="709" w:hanging="567"/>
        <w:rPr>
          <w:lang w:eastAsia="en-AU"/>
        </w:rPr>
      </w:pPr>
      <w:r>
        <w:rPr>
          <w:lang w:eastAsia="en-AU"/>
        </w:rPr>
        <w:t>Q15.</w:t>
      </w:r>
      <w:r>
        <w:rPr>
          <w:lang w:eastAsia="en-AU"/>
        </w:rPr>
        <w:tab/>
      </w:r>
      <w:r w:rsidR="00B41BDA">
        <w:rPr>
          <w:lang w:eastAsia="en-AU"/>
        </w:rPr>
        <w:t xml:space="preserve">What are your views on the relevance to </w:t>
      </w:r>
      <w:r w:rsidR="00915802">
        <w:rPr>
          <w:lang w:eastAsia="en-AU"/>
        </w:rPr>
        <w:t>sports foods</w:t>
      </w:r>
      <w:r w:rsidR="00B41BDA">
        <w:rPr>
          <w:lang w:eastAsia="en-AU"/>
        </w:rPr>
        <w:t xml:space="preserve"> of the existing </w:t>
      </w:r>
      <w:r w:rsidR="00B41BDA" w:rsidRPr="009A2030">
        <w:rPr>
          <w:lang w:eastAsia="en-AU"/>
        </w:rPr>
        <w:t>warning</w:t>
      </w:r>
      <w:r w:rsidR="00B41BDA">
        <w:rPr>
          <w:lang w:eastAsia="en-AU"/>
        </w:rPr>
        <w:t xml:space="preserve"> </w:t>
      </w:r>
      <w:r w:rsidR="00B41BDA" w:rsidRPr="009A2030">
        <w:rPr>
          <w:lang w:eastAsia="en-AU"/>
        </w:rPr>
        <w:t xml:space="preserve">statement and </w:t>
      </w:r>
      <w:r w:rsidR="00B41BDA">
        <w:rPr>
          <w:lang w:eastAsia="en-AU"/>
        </w:rPr>
        <w:t>advisory statements</w:t>
      </w:r>
      <w:r w:rsidR="00B41BDA" w:rsidRPr="009A2030">
        <w:rPr>
          <w:lang w:eastAsia="en-AU"/>
        </w:rPr>
        <w:t>? Please provide reasons for your view.</w:t>
      </w:r>
    </w:p>
    <w:p w14:paraId="4B482B84" w14:textId="2EA2B54E" w:rsidR="00B41BDA" w:rsidRDefault="009A2030" w:rsidP="009A2030">
      <w:pPr>
        <w:pStyle w:val="FSBullet1"/>
        <w:numPr>
          <w:ilvl w:val="0"/>
          <w:numId w:val="0"/>
        </w:numPr>
        <w:spacing w:before="120" w:after="120"/>
        <w:ind w:left="709" w:hanging="567"/>
        <w:rPr>
          <w:lang w:eastAsia="en-AU"/>
        </w:rPr>
      </w:pPr>
      <w:r>
        <w:rPr>
          <w:lang w:eastAsia="en-AU"/>
        </w:rPr>
        <w:t>Q16.</w:t>
      </w:r>
      <w:r>
        <w:rPr>
          <w:lang w:eastAsia="en-AU"/>
        </w:rPr>
        <w:tab/>
      </w:r>
      <w:r w:rsidR="00B41BDA">
        <w:rPr>
          <w:lang w:eastAsia="en-AU"/>
        </w:rPr>
        <w:t xml:space="preserve">Please discuss whether you think the existing labelling requirements for </w:t>
      </w:r>
      <w:r w:rsidR="00915802">
        <w:rPr>
          <w:lang w:eastAsia="en-AU"/>
        </w:rPr>
        <w:t>sports foods</w:t>
      </w:r>
      <w:r w:rsidR="00B41BDA">
        <w:rPr>
          <w:lang w:eastAsia="en-AU"/>
        </w:rPr>
        <w:t xml:space="preserve"> enable consumers to make informed choices. </w:t>
      </w:r>
      <w:r w:rsidR="00B41BDA" w:rsidRPr="009A2030">
        <w:rPr>
          <w:lang w:eastAsia="en-AU"/>
        </w:rPr>
        <w:t>Please provide reasons for your view.</w:t>
      </w:r>
    </w:p>
    <w:p w14:paraId="2ABA34CE" w14:textId="216656B4" w:rsidR="00B41BDA" w:rsidRDefault="009A2030" w:rsidP="009A2030">
      <w:pPr>
        <w:pStyle w:val="FSBullet1"/>
        <w:numPr>
          <w:ilvl w:val="0"/>
          <w:numId w:val="0"/>
        </w:numPr>
        <w:spacing w:before="120" w:after="120"/>
        <w:ind w:left="709" w:hanging="567"/>
        <w:rPr>
          <w:lang w:eastAsia="en-AU"/>
        </w:rPr>
      </w:pPr>
      <w:r>
        <w:rPr>
          <w:lang w:eastAsia="en-AU"/>
        </w:rPr>
        <w:lastRenderedPageBreak/>
        <w:t>Q17.</w:t>
      </w:r>
      <w:r>
        <w:rPr>
          <w:lang w:eastAsia="en-AU"/>
        </w:rPr>
        <w:tab/>
      </w:r>
      <w:r w:rsidR="00B41BDA">
        <w:rPr>
          <w:lang w:eastAsia="en-AU"/>
        </w:rPr>
        <w:t xml:space="preserve">What are your views on the usefulness of the labelling statements in Division 3 for particular </w:t>
      </w:r>
      <w:r w:rsidR="00915802">
        <w:rPr>
          <w:lang w:eastAsia="en-AU"/>
        </w:rPr>
        <w:t>sports foods</w:t>
      </w:r>
      <w:r w:rsidR="00B41BDA">
        <w:rPr>
          <w:lang w:eastAsia="en-AU"/>
        </w:rPr>
        <w:t xml:space="preserve"> (high carbohydrate supplement, protein energy supplement, energy supplement)? </w:t>
      </w:r>
      <w:r w:rsidR="00B41BDA" w:rsidRPr="009A2030">
        <w:rPr>
          <w:lang w:eastAsia="en-AU"/>
        </w:rPr>
        <w:t>Please provide reasons for your view.</w:t>
      </w:r>
    </w:p>
    <w:p w14:paraId="4488921C" w14:textId="45996A26" w:rsidR="00B41BDA" w:rsidRPr="00C05217" w:rsidRDefault="009A2030" w:rsidP="009A2030">
      <w:pPr>
        <w:pStyle w:val="FSBullet1"/>
        <w:numPr>
          <w:ilvl w:val="0"/>
          <w:numId w:val="0"/>
        </w:numPr>
        <w:spacing w:before="120" w:after="120"/>
        <w:ind w:left="709" w:hanging="567"/>
        <w:rPr>
          <w:lang w:eastAsia="en-AU"/>
        </w:rPr>
      </w:pPr>
      <w:r>
        <w:rPr>
          <w:lang w:eastAsia="en-AU"/>
        </w:rPr>
        <w:t>Q18.</w:t>
      </w:r>
      <w:r>
        <w:rPr>
          <w:lang w:eastAsia="en-AU"/>
        </w:rPr>
        <w:tab/>
      </w:r>
      <w:r w:rsidR="00B41BDA">
        <w:rPr>
          <w:lang w:eastAsia="en-AU"/>
        </w:rPr>
        <w:t xml:space="preserve">Have you identified issues on any other labelling aspects specific to </w:t>
      </w:r>
      <w:r w:rsidR="00915802">
        <w:rPr>
          <w:lang w:eastAsia="en-AU"/>
        </w:rPr>
        <w:t>sports foods</w:t>
      </w:r>
      <w:r w:rsidR="00B41BDA">
        <w:rPr>
          <w:lang w:eastAsia="en-AU"/>
        </w:rPr>
        <w:t>? Please provide detail.</w:t>
      </w:r>
    </w:p>
    <w:p w14:paraId="465A1CC1" w14:textId="6A495EC9" w:rsidR="00B41BDA" w:rsidRDefault="009A2030" w:rsidP="009A2030">
      <w:pPr>
        <w:pStyle w:val="FSBullet1"/>
        <w:numPr>
          <w:ilvl w:val="0"/>
          <w:numId w:val="0"/>
        </w:numPr>
        <w:spacing w:before="120" w:after="120"/>
        <w:ind w:left="709" w:hanging="567"/>
        <w:rPr>
          <w:lang w:eastAsia="en-AU"/>
        </w:rPr>
      </w:pPr>
      <w:r>
        <w:rPr>
          <w:lang w:eastAsia="en-AU"/>
        </w:rPr>
        <w:t>Q19.</w:t>
      </w:r>
      <w:r>
        <w:rPr>
          <w:lang w:eastAsia="en-AU"/>
        </w:rPr>
        <w:tab/>
      </w:r>
      <w:r w:rsidR="00B41BDA">
        <w:rPr>
          <w:lang w:eastAsia="en-AU"/>
        </w:rPr>
        <w:t xml:space="preserve">To inform the scope of the second consultation paper, do you have any views on how Standard 1.2.7 – Nutrition, health and related claims could apply to </w:t>
      </w:r>
      <w:r w:rsidR="00915802">
        <w:rPr>
          <w:lang w:eastAsia="en-AU"/>
        </w:rPr>
        <w:t>sports foods</w:t>
      </w:r>
      <w:r w:rsidR="00B41BDA">
        <w:rPr>
          <w:lang w:eastAsia="en-AU"/>
        </w:rPr>
        <w:t>?</w:t>
      </w:r>
    </w:p>
    <w:p w14:paraId="000ECB35" w14:textId="789B8C5F" w:rsidR="273439B9" w:rsidRDefault="273439B9" w:rsidP="273439B9"/>
    <w:p w14:paraId="42ADB3AC" w14:textId="6BDD685D" w:rsidR="273439B9" w:rsidRDefault="273439B9" w:rsidP="273439B9"/>
    <w:p w14:paraId="5AEC573D" w14:textId="4A40A531" w:rsidR="00193796" w:rsidRDefault="00193796" w:rsidP="00193796">
      <w:pPr>
        <w:spacing w:after="160"/>
        <w:rPr>
          <w:lang w:eastAsia="en-AU" w:bidi="ar-SA"/>
        </w:rPr>
      </w:pPr>
    </w:p>
    <w:p w14:paraId="2D0E130E" w14:textId="51AEDEA1" w:rsidR="00D60568" w:rsidRDefault="00D60568" w:rsidP="00193796">
      <w:pPr>
        <w:spacing w:after="160"/>
        <w:rPr>
          <w:lang w:eastAsia="en-AU" w:bidi="ar-SA"/>
        </w:rPr>
      </w:pPr>
    </w:p>
    <w:sectPr w:rsidR="00D60568" w:rsidSect="0054272D">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14193" w14:textId="77777777" w:rsidR="00E75AFC" w:rsidRDefault="00E75AFC">
      <w:r>
        <w:separator/>
      </w:r>
    </w:p>
  </w:endnote>
  <w:endnote w:type="continuationSeparator" w:id="0">
    <w:p w14:paraId="25781B67" w14:textId="77777777" w:rsidR="00E75AFC" w:rsidRDefault="00E75AFC">
      <w:r>
        <w:continuationSeparator/>
      </w:r>
    </w:p>
  </w:endnote>
  <w:endnote w:type="continuationNotice" w:id="1">
    <w:p w14:paraId="5F6D3BD1" w14:textId="77777777" w:rsidR="00E75AFC" w:rsidRDefault="00E75A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7C690" w14:textId="77777777" w:rsidR="00DE1BD0" w:rsidRPr="00DE1BD0" w:rsidRDefault="00DE1BD0" w:rsidP="00DE1BD0">
    <w:pPr>
      <w:pStyle w:val="Footer"/>
      <w:framePr w:wrap="around" w:vAnchor="text" w:hAnchor="margin" w:xAlign="center" w:y="1"/>
      <w:jc w:val="center"/>
      <w:rPr>
        <w:rStyle w:val="PageNumber"/>
        <w:rFonts w:ascii="Calibri" w:hAnsi="Calibri" w:cs="Calibri"/>
        <w:b/>
        <w:color w:val="F00000"/>
        <w:sz w:val="24"/>
      </w:rPr>
    </w:pPr>
    <w:r>
      <w:rPr>
        <w:rStyle w:val="PageNumber"/>
      </w:rPr>
      <w:fldChar w:fldCharType="begin" w:fldLock="1"/>
    </w:r>
    <w:r>
      <w:rPr>
        <w:rStyle w:val="PageNumber"/>
      </w:rPr>
      <w:instrText xml:space="preserve"> DOCPROPERTY bjFooterEvenPageDocProperty \* MERGEFORMAT </w:instrText>
    </w:r>
    <w:r>
      <w:rPr>
        <w:rStyle w:val="PageNumber"/>
      </w:rPr>
      <w:fldChar w:fldCharType="separate"/>
    </w:r>
  </w:p>
  <w:p w14:paraId="0DC92FA6" w14:textId="77777777" w:rsidR="0006473A" w:rsidRDefault="00DE1BD0" w:rsidP="00DE1BD0">
    <w:pPr>
      <w:pStyle w:val="Footer"/>
      <w:framePr w:wrap="around" w:vAnchor="text" w:hAnchor="margin" w:xAlign="center" w:y="1"/>
      <w:jc w:val="center"/>
      <w:rPr>
        <w:rStyle w:val="PageNumber"/>
      </w:rPr>
    </w:pPr>
    <w:r w:rsidRPr="00DE1BD0">
      <w:rPr>
        <w:rStyle w:val="PageNumber"/>
        <w:rFonts w:ascii="Calibri" w:hAnsi="Calibri" w:cs="Calibri"/>
        <w:b/>
        <w:color w:val="F00000"/>
        <w:sz w:val="24"/>
      </w:rPr>
      <w:t>OFFICIAL</w:t>
    </w:r>
    <w:r>
      <w:rPr>
        <w:rStyle w:val="PageNumber"/>
      </w:rPr>
      <w:t xml:space="preserve"> </w:t>
    </w:r>
    <w:r>
      <w:rPr>
        <w:rStyle w:val="PageNumber"/>
      </w:rPr>
      <w:fldChar w:fldCharType="end"/>
    </w:r>
    <w:r w:rsidR="0006473A">
      <w:rPr>
        <w:rStyle w:val="PageNumber"/>
      </w:rPr>
      <w:fldChar w:fldCharType="begin"/>
    </w:r>
    <w:r w:rsidR="0006473A">
      <w:rPr>
        <w:rStyle w:val="PageNumber"/>
      </w:rPr>
      <w:instrText xml:space="preserve">PAGE  </w:instrText>
    </w:r>
    <w:r w:rsidR="0006473A">
      <w:rPr>
        <w:rStyle w:val="PageNumber"/>
      </w:rPr>
      <w:fldChar w:fldCharType="end"/>
    </w:r>
  </w:p>
  <w:p w14:paraId="7A35A2A9" w14:textId="77777777" w:rsidR="0006473A" w:rsidRDefault="0006473A" w:rsidP="00DE1B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F3E9C" w14:textId="66B2E56B" w:rsidR="00DE1BD0" w:rsidRDefault="00DE1BD0" w:rsidP="008C1762">
    <w:pPr>
      <w:pStyle w:val="Footer"/>
      <w:framePr w:wrap="around" w:vAnchor="text" w:hAnchor="margin" w:xAlign="center" w:y="1"/>
      <w:jc w:val="center"/>
      <w:rPr>
        <w:rStyle w:val="PageNumber"/>
      </w:rPr>
    </w:pPr>
  </w:p>
  <w:p w14:paraId="5DC18C96" w14:textId="77777777" w:rsidR="0006473A" w:rsidRDefault="0006473A"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E1BD0">
      <w:rPr>
        <w:rStyle w:val="PageNumber"/>
        <w:noProof/>
      </w:rPr>
      <w:t>i</w:t>
    </w:r>
    <w:r>
      <w:rPr>
        <w:rStyle w:val="PageNumber"/>
      </w:rPr>
      <w:fldChar w:fldCharType="end"/>
    </w:r>
  </w:p>
  <w:p w14:paraId="653B2CE2" w14:textId="77777777" w:rsidR="0006473A" w:rsidRDefault="0006473A" w:rsidP="008C17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B1D39" w14:textId="77777777" w:rsidR="00DE1BD0" w:rsidRPr="00DE1BD0" w:rsidRDefault="00DE1BD0" w:rsidP="00DE1BD0">
    <w:pPr>
      <w:pStyle w:val="Footer"/>
      <w:jc w:val="center"/>
      <w:rPr>
        <w:rFonts w:ascii="Calibri" w:hAnsi="Calibri" w:cs="Calibri"/>
        <w:b/>
        <w:color w:val="F00000"/>
        <w:sz w:val="24"/>
      </w:rPr>
    </w:pPr>
    <w:r>
      <w:fldChar w:fldCharType="begin" w:fldLock="1"/>
    </w:r>
    <w:r>
      <w:instrText xml:space="preserve"> DOCPROPERTY bjFooterFirstPageDocProperty \* MERGEFORMAT </w:instrText>
    </w:r>
    <w:r>
      <w:fldChar w:fldCharType="separate"/>
    </w:r>
  </w:p>
  <w:p w14:paraId="3CFCED66" w14:textId="77777777" w:rsidR="00FA01B2" w:rsidRPr="00DE1BD0" w:rsidRDefault="00DE1BD0" w:rsidP="00DE1BD0">
    <w:pPr>
      <w:pStyle w:val="Footer"/>
      <w:jc w:val="center"/>
    </w:pPr>
    <w:r w:rsidRPr="00DE1BD0">
      <w:rPr>
        <w:rFonts w:ascii="Calibri" w:hAnsi="Calibri" w:cs="Calibri"/>
        <w:b/>
        <w:color w:val="F00000"/>
        <w:sz w:val="24"/>
      </w:rPr>
      <w:t>OFFICIAL</w:t>
    </w:r>
    <w:r>
      <w:t xml:space="preserve">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4AC3F" w14:textId="77777777" w:rsidR="00E75AFC" w:rsidRDefault="00E75AFC">
      <w:r>
        <w:separator/>
      </w:r>
    </w:p>
  </w:footnote>
  <w:footnote w:type="continuationSeparator" w:id="0">
    <w:p w14:paraId="5AD30F26" w14:textId="77777777" w:rsidR="00E75AFC" w:rsidRDefault="00E75AFC">
      <w:r>
        <w:continuationSeparator/>
      </w:r>
    </w:p>
  </w:footnote>
  <w:footnote w:type="continuationNotice" w:id="1">
    <w:p w14:paraId="0575E44C" w14:textId="77777777" w:rsidR="00E75AFC" w:rsidRDefault="00E75AFC"/>
  </w:footnote>
  <w:footnote w:id="2">
    <w:p w14:paraId="1E7A80D6" w14:textId="14ACB035" w:rsidR="00816E2A" w:rsidRPr="00A10E58" w:rsidRDefault="00816E2A" w:rsidP="00816E2A">
      <w:pPr>
        <w:pStyle w:val="FootnoteText"/>
        <w:rPr>
          <w:sz w:val="16"/>
          <w:szCs w:val="16"/>
          <w:lang w:val="en-AU"/>
        </w:rPr>
      </w:pPr>
      <w:r w:rsidRPr="00A10E58">
        <w:rPr>
          <w:rStyle w:val="FootnoteReference"/>
          <w:sz w:val="16"/>
          <w:szCs w:val="16"/>
        </w:rPr>
        <w:footnoteRef/>
      </w:r>
      <w:r w:rsidR="273439B9" w:rsidRPr="00A10E58">
        <w:rPr>
          <w:sz w:val="16"/>
          <w:szCs w:val="16"/>
        </w:rPr>
        <w:t xml:space="preserve"> </w:t>
      </w:r>
      <w:r w:rsidR="273439B9" w:rsidRPr="00A10E58">
        <w:rPr>
          <w:sz w:val="16"/>
          <w:szCs w:val="16"/>
          <w:lang w:val="en-AU"/>
        </w:rPr>
        <w:t>Now known as the Food Ministers’ Meeting; previously the Australia and New Zealand Ministerial Forum on Food Regulation.</w:t>
      </w:r>
    </w:p>
  </w:footnote>
  <w:footnote w:id="3">
    <w:p w14:paraId="51FA545B" w14:textId="77777777" w:rsidR="00816E2A" w:rsidRPr="00A10E58" w:rsidRDefault="00816E2A" w:rsidP="00816E2A">
      <w:pPr>
        <w:pStyle w:val="FootnoteText"/>
        <w:rPr>
          <w:sz w:val="16"/>
          <w:szCs w:val="16"/>
          <w:lang w:val="en-AU"/>
        </w:rPr>
      </w:pPr>
      <w:r w:rsidRPr="00A10E58">
        <w:rPr>
          <w:rStyle w:val="FootnoteReference"/>
          <w:sz w:val="16"/>
          <w:szCs w:val="16"/>
        </w:rPr>
        <w:footnoteRef/>
      </w:r>
      <w:r w:rsidRPr="00A10E58">
        <w:rPr>
          <w:sz w:val="16"/>
          <w:szCs w:val="16"/>
        </w:rPr>
        <w:t xml:space="preserve"> A definition for ‘used as a nutritive substance’ is given in section 1.1.2—12. Permissions for the use of nutritive substances other than vitamins and minerals in FSSF are listed in section S29—19.</w:t>
      </w:r>
    </w:p>
  </w:footnote>
  <w:footnote w:id="4">
    <w:p w14:paraId="06DF6205" w14:textId="53486DCD" w:rsidR="005623ED" w:rsidRPr="005623ED" w:rsidRDefault="005623ED">
      <w:pPr>
        <w:pStyle w:val="FootnoteText"/>
        <w:rPr>
          <w:lang w:val="en-AU"/>
        </w:rPr>
      </w:pPr>
      <w:r w:rsidRPr="00A10E58">
        <w:rPr>
          <w:rStyle w:val="FootnoteReference"/>
          <w:sz w:val="16"/>
          <w:szCs w:val="16"/>
        </w:rPr>
        <w:footnoteRef/>
      </w:r>
      <w:r w:rsidR="273439B9" w:rsidRPr="00A10E58">
        <w:rPr>
          <w:sz w:val="16"/>
          <w:szCs w:val="16"/>
        </w:rPr>
        <w:t xml:space="preserve"> </w:t>
      </w:r>
      <w:r w:rsidR="273439B9" w:rsidRPr="00A10E58">
        <w:rPr>
          <w:sz w:val="16"/>
          <w:szCs w:val="16"/>
          <w:lang w:val="en-AU"/>
        </w:rPr>
        <w:t xml:space="preserve">Chapter 3.3 of the </w:t>
      </w:r>
      <w:hyperlink r:id="rId1" w:history="1">
        <w:r w:rsidR="273439B9" w:rsidRPr="00B15BDC">
          <w:rPr>
            <w:rStyle w:val="Hyperlink"/>
            <w:sz w:val="16"/>
            <w:szCs w:val="16"/>
            <w:lang w:val="en-AU"/>
          </w:rPr>
          <w:t>FSANZ Application Handbook</w:t>
        </w:r>
      </w:hyperlink>
      <w:r w:rsidR="273439B9" w:rsidRPr="00A10E58">
        <w:rPr>
          <w:sz w:val="16"/>
          <w:szCs w:val="16"/>
          <w:lang w:val="en-AU"/>
        </w:rPr>
        <w:t>.</w:t>
      </w:r>
    </w:p>
  </w:footnote>
  <w:footnote w:id="5">
    <w:p w14:paraId="5730FC17" w14:textId="4E44D231" w:rsidR="009D5627" w:rsidRPr="007F04E9" w:rsidRDefault="009D5627">
      <w:pPr>
        <w:pStyle w:val="FootnoteText"/>
        <w:rPr>
          <w:sz w:val="16"/>
          <w:szCs w:val="16"/>
          <w:lang w:val="en-AU"/>
        </w:rPr>
      </w:pPr>
      <w:r w:rsidRPr="007F04E9">
        <w:rPr>
          <w:rStyle w:val="FootnoteReference"/>
          <w:sz w:val="16"/>
          <w:szCs w:val="16"/>
        </w:rPr>
        <w:footnoteRef/>
      </w:r>
      <w:r w:rsidRPr="007F04E9">
        <w:rPr>
          <w:sz w:val="16"/>
          <w:szCs w:val="16"/>
        </w:rPr>
        <w:t xml:space="preserve"> </w:t>
      </w:r>
      <w:r w:rsidR="00554FA4" w:rsidRPr="007F04E9">
        <w:rPr>
          <w:sz w:val="16"/>
          <w:szCs w:val="16"/>
        </w:rPr>
        <w:t xml:space="preserve"> </w:t>
      </w:r>
      <w:hyperlink r:id="rId2" w:history="1">
        <w:r w:rsidR="00554FA4" w:rsidRPr="007F04E9">
          <w:rPr>
            <w:rStyle w:val="Hyperlink"/>
            <w:sz w:val="16"/>
            <w:szCs w:val="16"/>
          </w:rPr>
          <w:t>Supplemented Food Standard User Guide</w:t>
        </w:r>
      </w:hyperlink>
    </w:p>
  </w:footnote>
  <w:footnote w:id="6">
    <w:p w14:paraId="1AE24020" w14:textId="7045B21F" w:rsidR="007B2F78" w:rsidRPr="007F04E9" w:rsidRDefault="007B2F78" w:rsidP="007B2F78">
      <w:pPr>
        <w:pStyle w:val="FootnoteText"/>
        <w:rPr>
          <w:sz w:val="16"/>
          <w:szCs w:val="16"/>
          <w:lang w:val="en-AU"/>
        </w:rPr>
      </w:pPr>
      <w:r w:rsidRPr="007F04E9">
        <w:rPr>
          <w:rStyle w:val="FootnoteReference"/>
          <w:sz w:val="16"/>
          <w:szCs w:val="16"/>
        </w:rPr>
        <w:footnoteRef/>
      </w:r>
      <w:r w:rsidRPr="007F04E9">
        <w:rPr>
          <w:sz w:val="16"/>
          <w:szCs w:val="16"/>
        </w:rPr>
        <w:t xml:space="preserve"> </w:t>
      </w:r>
      <w:hyperlink r:id="rId3" w:history="1">
        <w:r w:rsidRPr="007F04E9">
          <w:rPr>
            <w:rStyle w:val="Hyperlink"/>
            <w:sz w:val="16"/>
            <w:szCs w:val="16"/>
          </w:rPr>
          <w:t>Food-Medicine Interface Guidance Tool, Therapeutic Goods Administration</w:t>
        </w:r>
      </w:hyperlink>
    </w:p>
  </w:footnote>
  <w:footnote w:id="7">
    <w:p w14:paraId="789F7B96" w14:textId="5107CE42" w:rsidR="00816E2A" w:rsidRPr="007F04E9" w:rsidRDefault="00816E2A" w:rsidP="00816E2A">
      <w:pPr>
        <w:pStyle w:val="FootnoteText"/>
        <w:rPr>
          <w:sz w:val="16"/>
          <w:szCs w:val="16"/>
          <w:lang w:val="en-AU"/>
        </w:rPr>
      </w:pPr>
      <w:r w:rsidRPr="007F04E9">
        <w:rPr>
          <w:rStyle w:val="FootnoteReference"/>
          <w:sz w:val="16"/>
          <w:szCs w:val="16"/>
        </w:rPr>
        <w:footnoteRef/>
      </w:r>
      <w:r w:rsidRPr="007F04E9">
        <w:rPr>
          <w:sz w:val="16"/>
          <w:szCs w:val="16"/>
        </w:rPr>
        <w:t xml:space="preserve">  </w:t>
      </w:r>
      <w:r w:rsidR="003F43B6" w:rsidRPr="007F04E9">
        <w:rPr>
          <w:i/>
          <w:iCs/>
          <w:color w:val="0000FF"/>
          <w:sz w:val="16"/>
          <w:szCs w:val="16"/>
          <w:u w:val="single"/>
        </w:rPr>
        <w:t>Therapeutic Goods Act 1989</w:t>
      </w:r>
      <w:r w:rsidR="003F43B6" w:rsidRPr="007F04E9">
        <w:rPr>
          <w:color w:val="0000FF"/>
          <w:sz w:val="16"/>
          <w:szCs w:val="16"/>
          <w:u w:val="single"/>
        </w:rPr>
        <w:t xml:space="preserve"> </w:t>
      </w:r>
    </w:p>
  </w:footnote>
  <w:footnote w:id="8">
    <w:p w14:paraId="74865F6E" w14:textId="6A0BB0D1" w:rsidR="00816E2A" w:rsidRPr="00486160" w:rsidRDefault="00816E2A" w:rsidP="00486160">
      <w:pPr>
        <w:rPr>
          <w:sz w:val="16"/>
          <w:szCs w:val="16"/>
          <w:lang w:val="en-AU" w:eastAsia="en-AU"/>
        </w:rPr>
      </w:pPr>
      <w:r w:rsidRPr="00486160">
        <w:rPr>
          <w:rStyle w:val="FootnoteReference"/>
          <w:sz w:val="16"/>
          <w:szCs w:val="16"/>
        </w:rPr>
        <w:footnoteRef/>
      </w:r>
      <w:r w:rsidRPr="00486160">
        <w:rPr>
          <w:sz w:val="16"/>
          <w:szCs w:val="16"/>
        </w:rPr>
        <w:t xml:space="preserve"> </w:t>
      </w:r>
      <w:r w:rsidRPr="00486160">
        <w:rPr>
          <w:sz w:val="16"/>
          <w:szCs w:val="16"/>
          <w:lang w:val="en-AU" w:eastAsia="en-AU"/>
        </w:rPr>
        <w:t>Prohibited List means </w:t>
      </w:r>
      <w:r w:rsidRPr="00486160">
        <w:rPr>
          <w:i/>
          <w:iCs/>
          <w:sz w:val="16"/>
          <w:szCs w:val="16"/>
          <w:lang w:val="en-AU" w:eastAsia="en-AU"/>
        </w:rPr>
        <w:t>The World Anti-Doping Code International Standard Prohibited List </w:t>
      </w:r>
      <w:r w:rsidRPr="00486160">
        <w:rPr>
          <w:sz w:val="16"/>
          <w:szCs w:val="16"/>
          <w:lang w:val="en-AU" w:eastAsia="en-AU"/>
        </w:rPr>
        <w:t xml:space="preserve">(January 2020) published by the World Anti-Doping Agency, as in force or existing at 30 November 2020. </w:t>
      </w:r>
    </w:p>
  </w:footnote>
  <w:footnote w:id="9">
    <w:p w14:paraId="3F8E20D5" w14:textId="0698E614" w:rsidR="00816E2A" w:rsidRPr="00A50442" w:rsidRDefault="00816E2A" w:rsidP="00816E2A">
      <w:pPr>
        <w:pStyle w:val="FootnoteText"/>
        <w:rPr>
          <w:lang w:val="en-AU"/>
        </w:rPr>
      </w:pPr>
      <w:r w:rsidRPr="00486160">
        <w:rPr>
          <w:rStyle w:val="FootnoteReference"/>
          <w:sz w:val="16"/>
          <w:szCs w:val="16"/>
        </w:rPr>
        <w:footnoteRef/>
      </w:r>
      <w:r w:rsidRPr="00486160">
        <w:rPr>
          <w:sz w:val="16"/>
          <w:szCs w:val="16"/>
        </w:rPr>
        <w:t xml:space="preserve"> </w:t>
      </w:r>
      <w:hyperlink r:id="rId4" w:history="1">
        <w:r w:rsidRPr="00486160">
          <w:rPr>
            <w:rStyle w:val="Hyperlink"/>
            <w:sz w:val="16"/>
            <w:szCs w:val="16"/>
          </w:rPr>
          <w:t>Policy Guideline on the Intent of Part 2.9 - Special Purpose Foods</w:t>
        </w:r>
      </w:hyperlink>
    </w:p>
  </w:footnote>
  <w:footnote w:id="10">
    <w:p w14:paraId="43C7D531" w14:textId="1A4FE88B" w:rsidR="00A05DF6" w:rsidRPr="00DF4424" w:rsidRDefault="00A05DF6" w:rsidP="00A05DF6">
      <w:pPr>
        <w:pStyle w:val="FootnoteText"/>
        <w:rPr>
          <w:sz w:val="16"/>
          <w:szCs w:val="16"/>
        </w:rPr>
      </w:pPr>
      <w:r w:rsidRPr="00C11595">
        <w:rPr>
          <w:rStyle w:val="FootnoteReference"/>
          <w:rFonts w:cstheme="minorHAnsi"/>
          <w:sz w:val="16"/>
          <w:szCs w:val="16"/>
        </w:rPr>
        <w:footnoteRef/>
      </w:r>
      <w:r w:rsidRPr="00C11595">
        <w:t xml:space="preserve"> </w:t>
      </w:r>
      <w:hyperlink r:id="rId5" w:history="1">
        <w:r>
          <w:rPr>
            <w:rStyle w:val="Hyperlink"/>
            <w:sz w:val="16"/>
            <w:szCs w:val="16"/>
          </w:rPr>
          <w:t>Codex Guidelines for Vitamin and Mineral Food Supplements</w:t>
        </w:r>
      </w:hyperlink>
    </w:p>
  </w:footnote>
  <w:footnote w:id="11">
    <w:p w14:paraId="644A854D" w14:textId="2160D173" w:rsidR="00A05DF6" w:rsidRPr="00410DDF" w:rsidRDefault="00A05DF6" w:rsidP="00A05DF6">
      <w:pPr>
        <w:pStyle w:val="FootnoteText"/>
        <w:rPr>
          <w:lang w:val="en-AU"/>
        </w:rPr>
      </w:pPr>
      <w:r w:rsidRPr="007852F7">
        <w:rPr>
          <w:rStyle w:val="FootnoteReference"/>
          <w:sz w:val="16"/>
          <w:szCs w:val="16"/>
        </w:rPr>
        <w:footnoteRef/>
      </w:r>
      <w:r w:rsidRPr="007852F7">
        <w:rPr>
          <w:sz w:val="16"/>
          <w:szCs w:val="16"/>
        </w:rPr>
        <w:t xml:space="preserve"> </w:t>
      </w:r>
      <w:hyperlink r:id="rId6" w:history="1">
        <w:r>
          <w:rPr>
            <w:rStyle w:val="Hyperlink"/>
            <w:sz w:val="16"/>
            <w:szCs w:val="16"/>
            <w:shd w:val="clear" w:color="auto" w:fill="FFFFFF"/>
          </w:rPr>
          <w:t>Codex (1991) General principles for the addition of essential nutrients to foods (CAC/GL 1-1987)</w:t>
        </w:r>
      </w:hyperlink>
      <w:r w:rsidRPr="00410DDF">
        <w:rPr>
          <w:lang w:val="en-AU"/>
        </w:rPr>
        <w:t xml:space="preserve"> </w:t>
      </w:r>
    </w:p>
  </w:footnote>
  <w:footnote w:id="12">
    <w:p w14:paraId="1885878D" w14:textId="6B11B530" w:rsidR="00A05DF6" w:rsidRPr="00C11595" w:rsidRDefault="00A05DF6" w:rsidP="00A05DF6">
      <w:pPr>
        <w:pStyle w:val="FootnoteText"/>
      </w:pPr>
      <w:r w:rsidRPr="00DF4424">
        <w:rPr>
          <w:rStyle w:val="FootnoteReference"/>
          <w:rFonts w:cstheme="minorHAnsi"/>
          <w:sz w:val="16"/>
          <w:szCs w:val="16"/>
        </w:rPr>
        <w:footnoteRef/>
      </w:r>
      <w:r w:rsidRPr="00DF4424">
        <w:rPr>
          <w:sz w:val="16"/>
          <w:szCs w:val="16"/>
        </w:rPr>
        <w:t xml:space="preserve"> </w:t>
      </w:r>
      <w:hyperlink r:id="rId7" w:history="1">
        <w:r w:rsidRPr="00DF4424">
          <w:rPr>
            <w:rStyle w:val="Hyperlink"/>
            <w:sz w:val="16"/>
            <w:szCs w:val="16"/>
          </w:rPr>
          <w:t>Report from the Commission to the European Parliament and the Council on Food Intended for Sportspeople (2016)</w:t>
        </w:r>
      </w:hyperlink>
    </w:p>
  </w:footnote>
  <w:footnote w:id="13">
    <w:p w14:paraId="55ADEE4F" w14:textId="77777777" w:rsidR="00A05DF6" w:rsidRPr="00382C34" w:rsidRDefault="00A05DF6" w:rsidP="00A05DF6">
      <w:pPr>
        <w:pStyle w:val="FootnoteText"/>
        <w:rPr>
          <w:sz w:val="16"/>
          <w:szCs w:val="16"/>
        </w:rPr>
      </w:pPr>
      <w:r w:rsidRPr="006A0DFC">
        <w:rPr>
          <w:rStyle w:val="FootnoteReference"/>
          <w:rFonts w:cstheme="minorHAnsi"/>
          <w:szCs w:val="18"/>
        </w:rPr>
        <w:footnoteRef/>
      </w:r>
      <w:r w:rsidRPr="006A0DFC">
        <w:rPr>
          <w:szCs w:val="18"/>
        </w:rPr>
        <w:t xml:space="preserve"> </w:t>
      </w:r>
      <w:r w:rsidRPr="00382C34">
        <w:rPr>
          <w:sz w:val="16"/>
          <w:szCs w:val="16"/>
          <w:lang w:eastAsia="en-GB"/>
        </w:rPr>
        <w:t xml:space="preserve">Food Supplement Definition (Real </w:t>
      </w:r>
      <w:r w:rsidRPr="00382C34">
        <w:rPr>
          <w:sz w:val="16"/>
          <w:szCs w:val="16"/>
          <w:lang w:eastAsia="en-GB"/>
        </w:rPr>
        <w:t>Decreto 1487/2009): Food products whose purpose is to complement</w:t>
      </w:r>
      <w:r w:rsidRPr="00382C34">
        <w:rPr>
          <w:vanish/>
          <w:sz w:val="16"/>
          <w:szCs w:val="16"/>
          <w:lang w:eastAsia="en-GB"/>
        </w:rPr>
        <w:t>la dieta normal y consistentes en fuentes concentradas de nutrientes o de otras sustancias</w:t>
      </w:r>
      <w:r w:rsidRPr="00382C34">
        <w:rPr>
          <w:sz w:val="16"/>
          <w:szCs w:val="16"/>
          <w:lang w:eastAsia="en-GB"/>
        </w:rPr>
        <w:t xml:space="preserve"> the normal diet and consisting of concentrated sources of nutrients or other substances</w:t>
      </w:r>
      <w:r w:rsidRPr="00382C34">
        <w:rPr>
          <w:vanish/>
          <w:sz w:val="16"/>
          <w:szCs w:val="16"/>
          <w:lang w:eastAsia="en-GB"/>
        </w:rPr>
        <w:t>que tengan un efecto nutricional o fisiológico, en forma simple o combinada, comercializados</w:t>
      </w:r>
      <w:r w:rsidRPr="00382C34">
        <w:rPr>
          <w:sz w:val="16"/>
          <w:szCs w:val="16"/>
          <w:lang w:eastAsia="en-GB"/>
        </w:rPr>
        <w:t xml:space="preserve"> having a nutritional or physiological effect, in simple or combined form, marketed</w:t>
      </w:r>
      <w:r w:rsidRPr="00382C34">
        <w:rPr>
          <w:vanish/>
          <w:sz w:val="16"/>
          <w:szCs w:val="16"/>
          <w:lang w:eastAsia="en-GB"/>
        </w:rPr>
        <w:t>en forma dosificada, es decir cápsulas, pastillas, tabletas, píldoras y otras formas similares,</w:t>
      </w:r>
      <w:r w:rsidRPr="00382C34">
        <w:rPr>
          <w:sz w:val="16"/>
          <w:szCs w:val="16"/>
          <w:lang w:eastAsia="en-GB"/>
        </w:rPr>
        <w:t xml:space="preserve"> in dosage form, i.e. capsules, pills, tablets, pills and other similar forms,</w:t>
      </w:r>
      <w:r w:rsidRPr="00382C34">
        <w:rPr>
          <w:vanish/>
          <w:sz w:val="16"/>
          <w:szCs w:val="16"/>
          <w:lang w:eastAsia="en-GB"/>
        </w:rPr>
        <w:t>bolsitas de polvos, ampollas de líquido, botellas con cuentagotas y otras formas similares</w:t>
      </w:r>
      <w:r w:rsidRPr="00382C34">
        <w:rPr>
          <w:sz w:val="16"/>
          <w:szCs w:val="16"/>
          <w:lang w:eastAsia="en-GB"/>
        </w:rPr>
        <w:t xml:space="preserve"> powder sachets, liquid ampoules, dropper bottles and other similar shapes</w:t>
      </w:r>
      <w:r w:rsidRPr="00382C34">
        <w:rPr>
          <w:vanish/>
          <w:sz w:val="16"/>
          <w:szCs w:val="16"/>
          <w:lang w:eastAsia="en-GB"/>
        </w:rPr>
        <w:t>de líquidos y polvos que deben tomarse en pequeñas cantidades unitarias.</w:t>
      </w:r>
      <w:r w:rsidRPr="00382C34">
        <w:rPr>
          <w:sz w:val="16"/>
          <w:szCs w:val="16"/>
          <w:lang w:eastAsia="en-GB"/>
        </w:rPr>
        <w:t xml:space="preserve"> of liquids and powders to be taken in small unit quantities.</w:t>
      </w:r>
    </w:p>
  </w:footnote>
  <w:footnote w:id="14">
    <w:p w14:paraId="0C9C2E7C" w14:textId="5D644757" w:rsidR="00A05DF6" w:rsidRPr="00382C34" w:rsidRDefault="00A05DF6" w:rsidP="00A05DF6">
      <w:pPr>
        <w:pStyle w:val="FootnoteText"/>
        <w:rPr>
          <w:sz w:val="16"/>
          <w:szCs w:val="16"/>
        </w:rPr>
      </w:pPr>
      <w:r w:rsidRPr="00382C34">
        <w:rPr>
          <w:rStyle w:val="FootnoteReference"/>
          <w:rFonts w:cstheme="minorHAnsi"/>
          <w:sz w:val="16"/>
          <w:szCs w:val="16"/>
        </w:rPr>
        <w:footnoteRef/>
      </w:r>
      <w:r w:rsidRPr="00382C34">
        <w:rPr>
          <w:sz w:val="16"/>
          <w:szCs w:val="16"/>
        </w:rPr>
        <w:t xml:space="preserve"> </w:t>
      </w:r>
      <w:hyperlink r:id="rId8" w:history="1">
        <w:r w:rsidRPr="00382C34">
          <w:rPr>
            <w:rStyle w:val="Hyperlink"/>
            <w:rFonts w:cstheme="minorHAnsi"/>
            <w:sz w:val="16"/>
            <w:szCs w:val="16"/>
          </w:rPr>
          <w:t>EC Regulation 1925/2006</w:t>
        </w:r>
      </w:hyperlink>
      <w:r w:rsidRPr="00382C34">
        <w:rPr>
          <w:sz w:val="16"/>
          <w:szCs w:val="16"/>
        </w:rPr>
        <w:t xml:space="preserve"> on the addition of vitamins and minerals and or certain other substances to foods</w:t>
      </w:r>
    </w:p>
  </w:footnote>
  <w:footnote w:id="15">
    <w:p w14:paraId="5EB00018" w14:textId="0A4D9546" w:rsidR="00A05DF6" w:rsidRPr="00382C34" w:rsidRDefault="00A05DF6" w:rsidP="00A05DF6">
      <w:pPr>
        <w:pStyle w:val="FootnoteText"/>
        <w:rPr>
          <w:rFonts w:cstheme="minorHAnsi"/>
          <w:sz w:val="16"/>
          <w:szCs w:val="16"/>
        </w:rPr>
      </w:pPr>
      <w:r w:rsidRPr="00382C34">
        <w:rPr>
          <w:rStyle w:val="FootnoteReference"/>
          <w:rFonts w:cstheme="minorHAnsi"/>
          <w:sz w:val="16"/>
          <w:szCs w:val="16"/>
        </w:rPr>
        <w:footnoteRef/>
      </w:r>
      <w:r w:rsidRPr="00382C34">
        <w:rPr>
          <w:rFonts w:cstheme="minorHAnsi"/>
          <w:sz w:val="16"/>
          <w:szCs w:val="16"/>
        </w:rPr>
        <w:t xml:space="preserve"> </w:t>
      </w:r>
      <w:hyperlink r:id="rId9" w:history="1">
        <w:r>
          <w:rPr>
            <w:rStyle w:val="Hyperlink"/>
            <w:rFonts w:cstheme="minorHAnsi"/>
            <w:sz w:val="16"/>
            <w:szCs w:val="16"/>
          </w:rPr>
          <w:t>Regulation (EU) 1169/2011 on the provision of food information to consumers</w:t>
        </w:r>
      </w:hyperlink>
    </w:p>
  </w:footnote>
  <w:footnote w:id="16">
    <w:p w14:paraId="210089A3" w14:textId="5B313866" w:rsidR="00A05DF6" w:rsidRPr="00382C34" w:rsidRDefault="00A05DF6" w:rsidP="00A05DF6">
      <w:pPr>
        <w:pStyle w:val="FootnoteText"/>
        <w:rPr>
          <w:rFonts w:cstheme="minorHAnsi"/>
          <w:sz w:val="16"/>
          <w:szCs w:val="16"/>
        </w:rPr>
      </w:pPr>
      <w:r w:rsidRPr="00382C34">
        <w:rPr>
          <w:rStyle w:val="FootnoteReference"/>
          <w:rFonts w:cstheme="minorHAnsi"/>
          <w:sz w:val="16"/>
          <w:szCs w:val="16"/>
        </w:rPr>
        <w:footnoteRef/>
      </w:r>
      <w:r w:rsidRPr="00382C34">
        <w:rPr>
          <w:rFonts w:cstheme="minorHAnsi"/>
          <w:sz w:val="16"/>
          <w:szCs w:val="16"/>
        </w:rPr>
        <w:t xml:space="preserve"> </w:t>
      </w:r>
      <w:hyperlink r:id="rId10" w:history="1">
        <w:r w:rsidRPr="00382C34">
          <w:rPr>
            <w:rStyle w:val="Hyperlink"/>
            <w:rFonts w:cstheme="minorHAnsi"/>
            <w:sz w:val="16"/>
            <w:szCs w:val="16"/>
          </w:rPr>
          <w:t>EC Regulation 1924/2006</w:t>
        </w:r>
      </w:hyperlink>
      <w:r w:rsidRPr="00382C34">
        <w:rPr>
          <w:rFonts w:cstheme="minorHAnsi"/>
          <w:sz w:val="16"/>
          <w:szCs w:val="16"/>
        </w:rPr>
        <w:t xml:space="preserve"> on nutrition and health claims made on foods</w:t>
      </w:r>
    </w:p>
  </w:footnote>
  <w:footnote w:id="17">
    <w:p w14:paraId="2CAD01CA" w14:textId="13A5D035" w:rsidR="00A05DF6" w:rsidRPr="00382C34" w:rsidRDefault="00A05DF6" w:rsidP="00A05DF6">
      <w:pPr>
        <w:pStyle w:val="FootnoteText"/>
        <w:rPr>
          <w:rFonts w:cstheme="minorHAnsi"/>
          <w:sz w:val="16"/>
          <w:szCs w:val="16"/>
        </w:rPr>
      </w:pPr>
      <w:r w:rsidRPr="00382C34">
        <w:rPr>
          <w:rStyle w:val="FootnoteReference"/>
          <w:rFonts w:cstheme="minorHAnsi"/>
          <w:sz w:val="16"/>
          <w:szCs w:val="16"/>
        </w:rPr>
        <w:footnoteRef/>
      </w:r>
      <w:r w:rsidRPr="00382C34">
        <w:rPr>
          <w:rFonts w:cstheme="minorHAnsi"/>
          <w:sz w:val="16"/>
          <w:szCs w:val="16"/>
        </w:rPr>
        <w:t xml:space="preserve"> </w:t>
      </w:r>
      <w:hyperlink r:id="rId11" w:history="1">
        <w:r w:rsidRPr="00382C34">
          <w:rPr>
            <w:rStyle w:val="Hyperlink"/>
            <w:rFonts w:cstheme="minorHAnsi"/>
            <w:sz w:val="16"/>
            <w:szCs w:val="16"/>
          </w:rPr>
          <w:t>European Commission, Addition of Vitamins and Minerals</w:t>
        </w:r>
      </w:hyperlink>
    </w:p>
  </w:footnote>
  <w:footnote w:id="18">
    <w:p w14:paraId="042A787B" w14:textId="59B1C37F" w:rsidR="00A05DF6" w:rsidRPr="00382C34" w:rsidRDefault="00A05DF6" w:rsidP="00A05DF6">
      <w:pPr>
        <w:pStyle w:val="FootnoteText"/>
        <w:rPr>
          <w:sz w:val="16"/>
          <w:szCs w:val="16"/>
        </w:rPr>
      </w:pPr>
      <w:r w:rsidRPr="00382C34">
        <w:rPr>
          <w:rStyle w:val="FootnoteReference"/>
          <w:rFonts w:cstheme="minorHAnsi"/>
          <w:sz w:val="16"/>
          <w:szCs w:val="16"/>
        </w:rPr>
        <w:footnoteRef/>
      </w:r>
      <w:r w:rsidRPr="00382C34">
        <w:rPr>
          <w:sz w:val="16"/>
          <w:szCs w:val="16"/>
        </w:rPr>
        <w:t xml:space="preserve"> </w:t>
      </w:r>
      <w:hyperlink r:id="rId12" w:history="1">
        <w:r w:rsidRPr="00382C34">
          <w:rPr>
            <w:rStyle w:val="Hyperlink"/>
            <w:rFonts w:cstheme="minorHAnsi"/>
            <w:sz w:val="16"/>
            <w:szCs w:val="16"/>
          </w:rPr>
          <w:t>EC Regulation 1925/2006</w:t>
        </w:r>
      </w:hyperlink>
      <w:r w:rsidRPr="00382C34">
        <w:rPr>
          <w:sz w:val="16"/>
          <w:szCs w:val="16"/>
        </w:rPr>
        <w:t xml:space="preserve"> on the addition of vitamins and minerals and or certain other substances to foods</w:t>
      </w:r>
    </w:p>
  </w:footnote>
  <w:footnote w:id="19">
    <w:p w14:paraId="6C5CAED8" w14:textId="33D6FCEC" w:rsidR="00A05DF6" w:rsidRPr="00382C34" w:rsidRDefault="00A05DF6" w:rsidP="00A05DF6">
      <w:pPr>
        <w:pStyle w:val="FootnoteText"/>
        <w:rPr>
          <w:rFonts w:cstheme="minorHAnsi"/>
          <w:sz w:val="16"/>
          <w:szCs w:val="16"/>
        </w:rPr>
      </w:pPr>
      <w:r w:rsidRPr="00382C34">
        <w:rPr>
          <w:rStyle w:val="FootnoteReference"/>
          <w:rFonts w:cstheme="minorHAnsi"/>
          <w:sz w:val="16"/>
          <w:szCs w:val="16"/>
        </w:rPr>
        <w:footnoteRef/>
      </w:r>
      <w:r>
        <w:rPr>
          <w:rFonts w:cstheme="minorHAnsi"/>
          <w:sz w:val="16"/>
          <w:szCs w:val="16"/>
        </w:rPr>
        <w:t xml:space="preserve"> </w:t>
      </w:r>
      <w:hyperlink r:id="rId13" w:history="1">
        <w:r w:rsidRPr="00382C34">
          <w:rPr>
            <w:rStyle w:val="Hyperlink"/>
            <w:rFonts w:cstheme="minorHAnsi"/>
            <w:sz w:val="16"/>
            <w:szCs w:val="16"/>
          </w:rPr>
          <w:t>Regulation (EU) 1169/2011</w:t>
        </w:r>
      </w:hyperlink>
    </w:p>
  </w:footnote>
  <w:footnote w:id="20">
    <w:p w14:paraId="17CF0978" w14:textId="5DA8EAA7" w:rsidR="007C32A1" w:rsidRPr="007C32A1" w:rsidRDefault="007C32A1" w:rsidP="007C32A1">
      <w:pPr>
        <w:rPr>
          <w:sz w:val="16"/>
          <w:szCs w:val="16"/>
        </w:rPr>
      </w:pPr>
      <w:r w:rsidRPr="007C32A1">
        <w:rPr>
          <w:rStyle w:val="FootnoteReference"/>
          <w:sz w:val="16"/>
          <w:szCs w:val="16"/>
        </w:rPr>
        <w:footnoteRef/>
      </w:r>
      <w:r w:rsidRPr="007C32A1">
        <w:rPr>
          <w:sz w:val="16"/>
          <w:szCs w:val="16"/>
        </w:rPr>
        <w:t xml:space="preserve"> </w:t>
      </w:r>
      <w:hyperlink r:id="rId14">
        <w:r w:rsidRPr="007C32A1">
          <w:rPr>
            <w:rStyle w:val="Hyperlink"/>
            <w:sz w:val="16"/>
            <w:szCs w:val="16"/>
          </w:rPr>
          <w:t>Regulation (EU) 2015/2283 on novel foods</w:t>
        </w:r>
      </w:hyperlink>
    </w:p>
    <w:p w14:paraId="3AAC7C18" w14:textId="0D541CD3" w:rsidR="007C32A1" w:rsidRPr="007C32A1" w:rsidRDefault="007C32A1">
      <w:pPr>
        <w:pStyle w:val="FootnoteText"/>
        <w:rPr>
          <w:lang w:val="en-AU"/>
        </w:rPr>
      </w:pPr>
    </w:p>
  </w:footnote>
  <w:footnote w:id="21">
    <w:p w14:paraId="37A2BBCE" w14:textId="33E358EB" w:rsidR="00A05DF6" w:rsidRPr="001B6AA5" w:rsidRDefault="00A05DF6" w:rsidP="00A05DF6">
      <w:pPr>
        <w:pStyle w:val="FootnoteText"/>
        <w:rPr>
          <w:sz w:val="16"/>
          <w:szCs w:val="16"/>
        </w:rPr>
      </w:pPr>
      <w:r w:rsidRPr="001B6AA5">
        <w:rPr>
          <w:rStyle w:val="FootnoteReference"/>
          <w:sz w:val="16"/>
          <w:szCs w:val="16"/>
        </w:rPr>
        <w:footnoteRef/>
      </w:r>
      <w:r w:rsidRPr="001B6AA5">
        <w:rPr>
          <w:sz w:val="16"/>
          <w:szCs w:val="16"/>
        </w:rPr>
        <w:t xml:space="preserve"> </w:t>
      </w:r>
      <w:hyperlink r:id="rId15" w:history="1">
        <w:r w:rsidRPr="001B6AA5">
          <w:rPr>
            <w:rStyle w:val="Hyperlink"/>
            <w:sz w:val="16"/>
            <w:szCs w:val="16"/>
          </w:rPr>
          <w:t>FDA, Dietary Supplement Products &amp; Ingredients (2022)</w:t>
        </w:r>
      </w:hyperlink>
    </w:p>
  </w:footnote>
  <w:footnote w:id="22">
    <w:p w14:paraId="53139877" w14:textId="7B1F0E3D" w:rsidR="273439B9" w:rsidRPr="001B6AA5" w:rsidRDefault="273439B9" w:rsidP="273439B9">
      <w:pPr>
        <w:rPr>
          <w:rFonts w:eastAsia="Arial" w:cs="Arial"/>
          <w:sz w:val="16"/>
          <w:szCs w:val="16"/>
        </w:rPr>
      </w:pPr>
      <w:r w:rsidRPr="001B6AA5">
        <w:rPr>
          <w:rStyle w:val="FootnoteReference"/>
          <w:sz w:val="16"/>
          <w:szCs w:val="16"/>
        </w:rPr>
        <w:footnoteRef/>
      </w:r>
      <w:r w:rsidRPr="001B6AA5">
        <w:rPr>
          <w:sz w:val="16"/>
          <w:szCs w:val="16"/>
        </w:rPr>
        <w:t xml:space="preserve"> </w:t>
      </w:r>
      <w:hyperlink r:id="rId16">
        <w:r w:rsidRPr="001B6AA5">
          <w:rPr>
            <w:rStyle w:val="Hyperlink"/>
            <w:sz w:val="16"/>
            <w:szCs w:val="16"/>
          </w:rPr>
          <w:t>Dietary Supplement Ingredient Advisory List | FDA</w:t>
        </w:r>
      </w:hyperlink>
    </w:p>
  </w:footnote>
  <w:footnote w:id="23">
    <w:p w14:paraId="3BE5B0B4" w14:textId="0E4287D3" w:rsidR="273439B9" w:rsidRPr="001B6AA5" w:rsidRDefault="273439B9" w:rsidP="273439B9">
      <w:pPr>
        <w:rPr>
          <w:rFonts w:eastAsia="Arial" w:cs="Arial"/>
          <w:sz w:val="16"/>
          <w:szCs w:val="16"/>
        </w:rPr>
      </w:pPr>
      <w:r w:rsidRPr="001B6AA5">
        <w:rPr>
          <w:rStyle w:val="FootnoteReference"/>
          <w:sz w:val="16"/>
          <w:szCs w:val="16"/>
        </w:rPr>
        <w:footnoteRef/>
      </w:r>
      <w:r w:rsidRPr="001B6AA5">
        <w:rPr>
          <w:sz w:val="16"/>
          <w:szCs w:val="16"/>
        </w:rPr>
        <w:t xml:space="preserve"> </w:t>
      </w:r>
      <w:hyperlink r:id="rId17">
        <w:r w:rsidRPr="001B6AA5">
          <w:rPr>
            <w:rStyle w:val="Hyperlink"/>
            <w:sz w:val="16"/>
            <w:szCs w:val="16"/>
          </w:rPr>
          <w:t>Ingredient Search (hc-sc.gc.ca)</w:t>
        </w:r>
      </w:hyperlink>
    </w:p>
  </w:footnote>
  <w:footnote w:id="24">
    <w:p w14:paraId="1640A2CE" w14:textId="0F8D1ECD" w:rsidR="00A05DF6" w:rsidRPr="00D400E4" w:rsidRDefault="00A05DF6" w:rsidP="00A05DF6">
      <w:pPr>
        <w:pStyle w:val="FootnoteText"/>
        <w:rPr>
          <w:lang w:val="en-AU"/>
        </w:rPr>
      </w:pPr>
      <w:r w:rsidRPr="001B6AA5">
        <w:rPr>
          <w:rStyle w:val="FootnoteReference"/>
          <w:sz w:val="16"/>
          <w:szCs w:val="16"/>
        </w:rPr>
        <w:footnoteRef/>
      </w:r>
      <w:r w:rsidRPr="001B6AA5">
        <w:rPr>
          <w:sz w:val="16"/>
          <w:szCs w:val="16"/>
        </w:rPr>
        <w:t xml:space="preserve"> </w:t>
      </w:r>
      <w:hyperlink r:id="rId18" w:history="1">
        <w:r w:rsidRPr="001B6AA5">
          <w:rPr>
            <w:rStyle w:val="Hyperlink"/>
            <w:sz w:val="16"/>
            <w:szCs w:val="16"/>
          </w:rPr>
          <w:t>Singapore Sale of Food Act: Food Regulations</w:t>
        </w:r>
      </w:hyperlink>
    </w:p>
  </w:footnote>
  <w:footnote w:id="25">
    <w:p w14:paraId="5983B33A" w14:textId="7AE8E1C3" w:rsidR="002C7201" w:rsidRPr="00F6033E" w:rsidRDefault="002C7201" w:rsidP="002C7201">
      <w:pPr>
        <w:pStyle w:val="FootnoteText"/>
        <w:rPr>
          <w:sz w:val="16"/>
          <w:szCs w:val="16"/>
          <w:lang w:val="en-AU"/>
        </w:rPr>
      </w:pPr>
      <w:r w:rsidRPr="00F6033E">
        <w:rPr>
          <w:rStyle w:val="FootnoteReference"/>
          <w:sz w:val="16"/>
          <w:szCs w:val="16"/>
        </w:rPr>
        <w:footnoteRef/>
      </w:r>
      <w:r w:rsidRPr="00F6033E">
        <w:rPr>
          <w:sz w:val="16"/>
          <w:szCs w:val="16"/>
        </w:rPr>
        <w:t xml:space="preserve"> </w:t>
      </w:r>
      <w:hyperlink r:id="rId19" w:history="1">
        <w:r w:rsidRPr="001B6AA5">
          <w:rPr>
            <w:rStyle w:val="Hyperlink"/>
            <w:sz w:val="16"/>
            <w:szCs w:val="16"/>
            <w:shd w:val="clear" w:color="auto" w:fill="FFFFFF"/>
          </w:rPr>
          <w:t>Sports Nutrition and High Energy Supplements: The Global Market</w:t>
        </w:r>
        <w:r w:rsidR="001B6AA5" w:rsidRPr="001B6AA5">
          <w:rPr>
            <w:rStyle w:val="Hyperlink"/>
            <w:sz w:val="16"/>
            <w:szCs w:val="16"/>
            <w:shd w:val="clear" w:color="auto" w:fill="FFFFFF"/>
          </w:rPr>
          <w:t xml:space="preserve"> </w:t>
        </w:r>
        <w:r w:rsidRPr="001B6AA5">
          <w:rPr>
            <w:rStyle w:val="Hyperlink"/>
            <w:sz w:val="16"/>
            <w:szCs w:val="16"/>
            <w:shd w:val="clear" w:color="auto" w:fill="FFFFFF"/>
          </w:rPr>
          <w:t>Report Code: FOD043A, Published: September 2008.</w:t>
        </w:r>
      </w:hyperlink>
    </w:p>
  </w:footnote>
  <w:footnote w:id="26">
    <w:p w14:paraId="2C7F9369" w14:textId="0B708EA7" w:rsidR="002C7201" w:rsidRDefault="002C7201" w:rsidP="273439B9">
      <w:pPr>
        <w:rPr>
          <w:rFonts w:eastAsia="Arial"/>
          <w:sz w:val="16"/>
          <w:szCs w:val="16"/>
          <w:lang w:val="en"/>
        </w:rPr>
      </w:pPr>
      <w:r w:rsidRPr="00F6033E">
        <w:rPr>
          <w:rStyle w:val="FootnoteReference"/>
          <w:sz w:val="16"/>
          <w:szCs w:val="16"/>
        </w:rPr>
        <w:footnoteRef/>
      </w:r>
      <w:r w:rsidR="273439B9" w:rsidRPr="00F6033E">
        <w:rPr>
          <w:sz w:val="16"/>
          <w:szCs w:val="16"/>
        </w:rPr>
        <w:t xml:space="preserve"> </w:t>
      </w:r>
      <w:hyperlink r:id="rId20">
        <w:r w:rsidR="273439B9" w:rsidRPr="273439B9">
          <w:rPr>
            <w:rStyle w:val="Hyperlink"/>
            <w:sz w:val="16"/>
            <w:szCs w:val="16"/>
          </w:rPr>
          <w:t>Sports nutrition is expanding across consumers, categories, and positioning | Nutritional Outlook Accessed 28112022</w:t>
        </w:r>
      </w:hyperlink>
    </w:p>
  </w:footnote>
  <w:footnote w:id="27">
    <w:p w14:paraId="7C0E67A0" w14:textId="77777777" w:rsidR="002C7201" w:rsidRPr="00466A59" w:rsidRDefault="002C7201" w:rsidP="002C7201">
      <w:pPr>
        <w:rPr>
          <w:rFonts w:eastAsia="Arial"/>
          <w:sz w:val="16"/>
          <w:szCs w:val="16"/>
        </w:rPr>
      </w:pPr>
      <w:r w:rsidRPr="002C7201">
        <w:rPr>
          <w:rStyle w:val="FootnoteReference"/>
          <w:sz w:val="18"/>
          <w:szCs w:val="18"/>
        </w:rPr>
        <w:footnoteRef/>
      </w:r>
      <w:r w:rsidRPr="002C7201">
        <w:rPr>
          <w:sz w:val="18"/>
          <w:szCs w:val="18"/>
        </w:rPr>
        <w:t xml:space="preserve"> </w:t>
      </w:r>
      <w:r w:rsidRPr="00466A59">
        <w:rPr>
          <w:rFonts w:eastAsia="Arial"/>
          <w:color w:val="000000" w:themeColor="text1"/>
          <w:sz w:val="16"/>
          <w:szCs w:val="16"/>
        </w:rPr>
        <w:t>Industry respondents to a FSANZ survey of the Australian sports food market conducted in late 2010.</w:t>
      </w:r>
    </w:p>
  </w:footnote>
  <w:footnote w:id="28">
    <w:p w14:paraId="4FAA6135" w14:textId="77777777" w:rsidR="002C7201" w:rsidRPr="00466A59" w:rsidRDefault="002C7201" w:rsidP="002C7201">
      <w:pPr>
        <w:rPr>
          <w:rFonts w:eastAsia="Arial"/>
          <w:sz w:val="16"/>
          <w:szCs w:val="16"/>
        </w:rPr>
      </w:pPr>
      <w:r w:rsidRPr="00466A59">
        <w:rPr>
          <w:rStyle w:val="FootnoteReference"/>
          <w:sz w:val="16"/>
          <w:szCs w:val="16"/>
        </w:rPr>
        <w:footnoteRef/>
      </w:r>
      <w:r w:rsidRPr="00466A59">
        <w:rPr>
          <w:sz w:val="16"/>
          <w:szCs w:val="16"/>
        </w:rPr>
        <w:t xml:space="preserve"> </w:t>
      </w:r>
      <w:r w:rsidRPr="00466A59">
        <w:rPr>
          <w:rFonts w:eastAsia="Arial"/>
          <w:color w:val="000000" w:themeColor="text1"/>
          <w:sz w:val="16"/>
          <w:szCs w:val="16"/>
        </w:rPr>
        <w:t>Included bars, protein or protein/energy powders and drinks (other than electrolyte drinks) and sport-related nutritional capsules or tablets.</w:t>
      </w:r>
    </w:p>
  </w:footnote>
  <w:footnote w:id="29">
    <w:p w14:paraId="5A653354" w14:textId="3AA96C15" w:rsidR="005507AA" w:rsidRPr="002C7201" w:rsidRDefault="005507AA" w:rsidP="005507AA">
      <w:pPr>
        <w:rPr>
          <w:sz w:val="18"/>
          <w:szCs w:val="18"/>
        </w:rPr>
      </w:pPr>
      <w:r w:rsidRPr="00466A59">
        <w:rPr>
          <w:rStyle w:val="FootnoteReference"/>
          <w:sz w:val="16"/>
          <w:szCs w:val="16"/>
        </w:rPr>
        <w:footnoteRef/>
      </w:r>
      <w:r w:rsidRPr="00466A59">
        <w:rPr>
          <w:sz w:val="16"/>
          <w:szCs w:val="16"/>
        </w:rPr>
        <w:t xml:space="preserve"> </w:t>
      </w:r>
      <w:hyperlink r:id="rId21" w:anchor=":~:text=Sports%20Nutrition%3A%20%241.31%20billion%20Herbal%20%2F,Traditional%20Products%3A%20%240.76billion%20Weight%20loss%3A%20%240.43%20billion" w:history="1">
        <w:r w:rsidR="00466A59" w:rsidRPr="00A55ACB">
          <w:rPr>
            <w:rStyle w:val="Hyperlink"/>
            <w:sz w:val="16"/>
            <w:szCs w:val="16"/>
          </w:rPr>
          <w:t xml:space="preserve">CMA Industry </w:t>
        </w:r>
        <w:r w:rsidR="00A55ACB" w:rsidRPr="00A55ACB">
          <w:rPr>
            <w:rStyle w:val="Hyperlink"/>
            <w:sz w:val="16"/>
            <w:szCs w:val="16"/>
          </w:rPr>
          <w:t>Snapshot 2020</w:t>
        </w:r>
      </w:hyperlink>
      <w:r w:rsidR="00A55ACB">
        <w:rPr>
          <w:sz w:val="16"/>
          <w:szCs w:val="16"/>
        </w:rPr>
        <w:t xml:space="preserve"> </w:t>
      </w:r>
    </w:p>
  </w:footnote>
  <w:footnote w:id="30">
    <w:p w14:paraId="2FC06551" w14:textId="77777777" w:rsidR="002C7201" w:rsidRDefault="002C7201" w:rsidP="002C7201">
      <w:pPr>
        <w:rPr>
          <w:rFonts w:eastAsia="Arial"/>
        </w:rPr>
      </w:pPr>
      <w:r w:rsidRPr="56AECBCA">
        <w:rPr>
          <w:rStyle w:val="FootnoteReference"/>
        </w:rPr>
        <w:footnoteRef/>
      </w:r>
      <w:r>
        <w:t xml:space="preserve"> </w:t>
      </w:r>
      <w:r w:rsidRPr="00F249FC">
        <w:rPr>
          <w:rFonts w:eastAsia="Arial"/>
          <w:color w:val="000000" w:themeColor="text1"/>
          <w:sz w:val="16"/>
          <w:szCs w:val="16"/>
        </w:rPr>
        <w:t xml:space="preserve">Based on </w:t>
      </w:r>
      <w:r w:rsidRPr="00F249FC">
        <w:rPr>
          <w:rFonts w:eastAsia="Arial"/>
          <w:color w:val="000000" w:themeColor="text1"/>
          <w:sz w:val="16"/>
          <w:szCs w:val="16"/>
          <w:lang w:val="en-AU"/>
        </w:rPr>
        <w:t>retail data supplied by an industry stakeholder.</w:t>
      </w:r>
    </w:p>
  </w:footnote>
  <w:footnote w:id="31">
    <w:p w14:paraId="5A2F6804" w14:textId="735D77AF" w:rsidR="002B5EA3" w:rsidRPr="008B72DF" w:rsidRDefault="002B5EA3" w:rsidP="002B5EA3">
      <w:pPr>
        <w:pStyle w:val="FootnoteText"/>
        <w:rPr>
          <w:lang w:val="en-AU"/>
        </w:rPr>
      </w:pPr>
      <w:r>
        <w:rPr>
          <w:rStyle w:val="FootnoteReference"/>
        </w:rPr>
        <w:footnoteRef/>
      </w:r>
      <w:r>
        <w:t xml:space="preserve"> </w:t>
      </w:r>
      <w:r w:rsidR="00985730" w:rsidRPr="00985730">
        <w:rPr>
          <w:sz w:val="16"/>
          <w:szCs w:val="16"/>
          <w:lang w:val="en-AU"/>
        </w:rPr>
        <w:t xml:space="preserve">Section 3.3.3 A (A1) of the </w:t>
      </w:r>
      <w:hyperlink r:id="rId22" w:history="1">
        <w:r w:rsidR="00985730" w:rsidRPr="00B15BDC">
          <w:rPr>
            <w:rStyle w:val="Hyperlink"/>
            <w:sz w:val="16"/>
            <w:szCs w:val="16"/>
            <w:lang w:val="en-AU"/>
          </w:rPr>
          <w:t>FSANZ Application Handbook</w:t>
        </w:r>
      </w:hyperlink>
    </w:p>
  </w:footnote>
  <w:footnote w:id="32">
    <w:p w14:paraId="416AF743" w14:textId="77777777" w:rsidR="00193796" w:rsidRPr="00BC4BDC" w:rsidRDefault="00193796" w:rsidP="00193796">
      <w:pPr>
        <w:pStyle w:val="fscnmain0"/>
        <w:spacing w:before="0" w:beforeAutospacing="0" w:after="0" w:afterAutospacing="0"/>
        <w:rPr>
          <w:rFonts w:ascii="Arial" w:hAnsi="Arial" w:cs="Arial"/>
          <w:sz w:val="16"/>
          <w:szCs w:val="16"/>
        </w:rPr>
      </w:pPr>
      <w:r w:rsidRPr="00BC4BDC">
        <w:rPr>
          <w:rStyle w:val="FootnoteReference"/>
          <w:rFonts w:ascii="Arial" w:hAnsi="Arial" w:cs="Arial"/>
          <w:sz w:val="16"/>
          <w:szCs w:val="16"/>
        </w:rPr>
        <w:footnoteRef/>
      </w:r>
      <w:r w:rsidRPr="00BC4BDC">
        <w:rPr>
          <w:rFonts w:ascii="Arial" w:hAnsi="Arial" w:cs="Arial"/>
          <w:sz w:val="16"/>
          <w:szCs w:val="16"/>
        </w:rPr>
        <w:t xml:space="preserve"> </w:t>
      </w:r>
      <w:r w:rsidRPr="00762F3A">
        <w:rPr>
          <w:rFonts w:ascii="Arial" w:hAnsi="Arial" w:cs="Arial"/>
          <w:bCs/>
          <w:i/>
          <w:sz w:val="16"/>
          <w:szCs w:val="16"/>
        </w:rPr>
        <w:t>claim requiring nutrition information</w:t>
      </w:r>
      <w:r w:rsidRPr="00762F3A">
        <w:rPr>
          <w:rFonts w:ascii="Arial" w:hAnsi="Arial" w:cs="Arial"/>
          <w:bCs/>
          <w:sz w:val="16"/>
          <w:szCs w:val="16"/>
        </w:rPr>
        <w:t>:</w:t>
      </w:r>
      <w:r w:rsidRPr="00BC4BDC">
        <w:rPr>
          <w:rFonts w:ascii="Arial" w:hAnsi="Arial" w:cs="Arial"/>
          <w:sz w:val="16"/>
          <w:szCs w:val="16"/>
        </w:rPr>
        <w:t xml:space="preserve"> (a) means: (</w:t>
      </w:r>
      <w:r w:rsidRPr="00BC4BDC">
        <w:rPr>
          <w:rFonts w:ascii="Arial" w:hAnsi="Arial" w:cs="Arial"/>
          <w:sz w:val="16"/>
          <w:szCs w:val="16"/>
        </w:rPr>
        <w:t>i) a nutrition content claim; or (ii) a health claim; and (b) does not include: (i)  a declaration that is required by an application Act; or (ii) an endorsement; or (iii) a *prescribed beverage gluten free claim</w:t>
      </w:r>
    </w:p>
  </w:footnote>
  <w:footnote w:id="33">
    <w:p w14:paraId="0EE9A58C" w14:textId="77777777" w:rsidR="00193796" w:rsidRPr="00BC4BDC" w:rsidRDefault="00193796" w:rsidP="00193796">
      <w:pPr>
        <w:pStyle w:val="FootnoteText"/>
        <w:rPr>
          <w:sz w:val="16"/>
          <w:szCs w:val="16"/>
        </w:rPr>
      </w:pPr>
      <w:r w:rsidRPr="00BC4BDC">
        <w:rPr>
          <w:rStyle w:val="FootnoteReference"/>
          <w:sz w:val="16"/>
          <w:szCs w:val="16"/>
        </w:rPr>
        <w:footnoteRef/>
      </w:r>
      <w:r w:rsidRPr="00BC4BDC">
        <w:rPr>
          <w:sz w:val="16"/>
          <w:szCs w:val="16"/>
        </w:rPr>
        <w:t xml:space="preserve"> A claim that </w:t>
      </w:r>
      <w:r w:rsidRPr="00BC4BDC">
        <w:rPr>
          <w:sz w:val="16"/>
          <w:szCs w:val="16"/>
          <w:shd w:val="clear" w:color="auto" w:fill="FFFFFF"/>
        </w:rPr>
        <w:t>refer to the prevention, diagnosis, cure or alleviation of a disease, disorder or condition</w:t>
      </w:r>
    </w:p>
  </w:footnote>
  <w:footnote w:id="34">
    <w:p w14:paraId="76D143B3" w14:textId="77777777" w:rsidR="00193796" w:rsidRPr="00616FEB" w:rsidRDefault="00193796" w:rsidP="00193796">
      <w:pPr>
        <w:pStyle w:val="FootnoteText"/>
        <w:rPr>
          <w:lang w:val="en-AU"/>
        </w:rPr>
      </w:pPr>
      <w:r w:rsidRPr="00BC4BDC">
        <w:rPr>
          <w:rStyle w:val="FootnoteReference"/>
          <w:sz w:val="16"/>
          <w:szCs w:val="16"/>
        </w:rPr>
        <w:footnoteRef/>
      </w:r>
      <w:r w:rsidR="273439B9" w:rsidRPr="00BC4BDC">
        <w:rPr>
          <w:sz w:val="16"/>
          <w:szCs w:val="16"/>
        </w:rPr>
        <w:t xml:space="preserve"> This amount must be stated either immediately after the statement referring to the presence of the substance; or immediately following the name of the substance in the statement of ingredients (paragraph 2.9.4—5(2)(a)).</w:t>
      </w:r>
    </w:p>
  </w:footnote>
  <w:footnote w:id="35">
    <w:p w14:paraId="38004E96" w14:textId="77777777" w:rsidR="00BC4BDC" w:rsidRPr="00BC4BDC" w:rsidRDefault="00BC4BDC" w:rsidP="00BC4BDC">
      <w:pPr>
        <w:pStyle w:val="FootnoteText"/>
        <w:rPr>
          <w:sz w:val="16"/>
          <w:szCs w:val="16"/>
          <w:lang w:val="en-AU"/>
        </w:rPr>
      </w:pPr>
      <w:r w:rsidRPr="00BC4BDC">
        <w:rPr>
          <w:rStyle w:val="FootnoteReference"/>
          <w:sz w:val="16"/>
          <w:szCs w:val="16"/>
        </w:rPr>
        <w:footnoteRef/>
      </w:r>
      <w:r w:rsidRPr="00BC4BDC">
        <w:rPr>
          <w:sz w:val="16"/>
          <w:szCs w:val="16"/>
        </w:rPr>
        <w:t xml:space="preserve"> </w:t>
      </w:r>
      <w:r w:rsidRPr="00BC4BDC">
        <w:rPr>
          <w:sz w:val="16"/>
          <w:szCs w:val="16"/>
          <w:lang w:val="en-AU"/>
        </w:rPr>
        <w:t>The entry in S4</w:t>
      </w:r>
      <w:r w:rsidRPr="00BC4BDC">
        <w:rPr>
          <w:rFonts w:eastAsia="Calibri" w:cs="Arial"/>
          <w:sz w:val="16"/>
          <w:szCs w:val="16"/>
          <w:lang w:bidi="ar-SA"/>
        </w:rPr>
        <w:t>—</w:t>
      </w:r>
      <w:r w:rsidRPr="00BC4BDC">
        <w:rPr>
          <w:sz w:val="16"/>
          <w:szCs w:val="16"/>
          <w:lang w:val="en-AU"/>
        </w:rPr>
        <w:t>3 for nutrition content claims about vitamin or minerals (not including potassium or sodium) includes a general claim condition that the food is not a formulated supplementary sports food.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991CD" w14:textId="77777777" w:rsidR="00DE1BD0" w:rsidRPr="00DE1BD0" w:rsidRDefault="00DE1BD0" w:rsidP="00DE1BD0">
    <w:pPr>
      <w:pStyle w:val="Header"/>
      <w:jc w:val="center"/>
      <w:rPr>
        <w:rFonts w:ascii="Calibri" w:hAnsi="Calibri" w:cs="Calibri"/>
        <w:b/>
        <w:color w:val="F00000"/>
        <w:sz w:val="24"/>
      </w:rPr>
    </w:pPr>
    <w:r>
      <w:fldChar w:fldCharType="begin" w:fldLock="1"/>
    </w:r>
    <w:r>
      <w:instrText xml:space="preserve"> DOCPROPERTY bjHeaderEvenPageDocProperty \* MERGEFORMAT </w:instrText>
    </w:r>
    <w:r>
      <w:fldChar w:fldCharType="separate"/>
    </w:r>
    <w:r w:rsidRPr="00DE1BD0">
      <w:rPr>
        <w:rFonts w:ascii="Calibri" w:hAnsi="Calibri" w:cs="Calibri"/>
        <w:b/>
        <w:color w:val="F00000"/>
        <w:sz w:val="24"/>
      </w:rPr>
      <w:t>OFFICIAL</w:t>
    </w:r>
  </w:p>
  <w:p w14:paraId="2ACB3BB7" w14:textId="77777777" w:rsidR="00FA01B2" w:rsidRPr="00DE1BD0" w:rsidRDefault="00DE1BD0" w:rsidP="00DE1BD0">
    <w:pPr>
      <w:pStyle w:val="Header"/>
      <w:jc w:val="center"/>
    </w:pPr>
    <w:r w:rsidRPr="00DE1BD0">
      <w:rPr>
        <w:rFonts w:ascii="Calibri" w:hAnsi="Calibri" w:cs="Calibri"/>
        <w:b/>
        <w:color w:val="F00000"/>
        <w:sz w:val="24"/>
      </w:rPr>
      <w:t xml:space="preserve"> </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377F0" w14:textId="1B212EFA" w:rsidR="00DE1BD0" w:rsidRPr="00DE1BD0" w:rsidRDefault="00DE1BD0" w:rsidP="00DE1BD0">
    <w:pPr>
      <w:pStyle w:val="Header"/>
      <w:jc w:val="center"/>
      <w:rPr>
        <w:rFonts w:ascii="Calibri" w:hAnsi="Calibri" w:cs="Calibri"/>
        <w:b/>
        <w:color w:val="F00000"/>
        <w:sz w:val="24"/>
      </w:rPr>
    </w:pPr>
    <w:r>
      <w:fldChar w:fldCharType="begin" w:fldLock="1"/>
    </w:r>
    <w:r>
      <w:instrText xml:space="preserve"> DOCPROPERTY bjHeaderBothDocProperty \* MERGEFORMAT </w:instrText>
    </w:r>
    <w:r>
      <w:fldChar w:fldCharType="separate"/>
    </w:r>
  </w:p>
  <w:p w14:paraId="463CEE6E" w14:textId="77777777" w:rsidR="0006473A" w:rsidRPr="00DE1BD0" w:rsidRDefault="00DE1BD0" w:rsidP="00DE1BD0">
    <w:pPr>
      <w:pStyle w:val="Header"/>
      <w:jc w:val="center"/>
    </w:pPr>
    <w:r w:rsidRPr="00DE1BD0">
      <w:rPr>
        <w:rFonts w:ascii="Calibri" w:hAnsi="Calibri" w:cs="Calibri"/>
        <w:b/>
        <w:color w:val="F00000"/>
        <w:sz w:val="24"/>
      </w:rPr>
      <w:t xml:space="preserve"> </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039A4" w14:textId="77777777" w:rsidR="00DE1BD0" w:rsidRPr="00DE1BD0" w:rsidRDefault="00DE1BD0" w:rsidP="00DE1BD0">
    <w:pPr>
      <w:pStyle w:val="Header"/>
      <w:jc w:val="center"/>
      <w:rPr>
        <w:rFonts w:ascii="Calibri" w:hAnsi="Calibri" w:cs="Calibri"/>
        <w:b/>
        <w:bCs/>
        <w:color w:val="F00000"/>
        <w:sz w:val="24"/>
      </w:rPr>
    </w:pPr>
    <w:r>
      <w:rPr>
        <w:b/>
        <w:bCs/>
      </w:rPr>
      <w:fldChar w:fldCharType="begin" w:fldLock="1"/>
    </w:r>
    <w:r>
      <w:rPr>
        <w:b/>
        <w:bCs/>
      </w:rPr>
      <w:instrText xml:space="preserve"> DOCPROPERTY bjHeaderFirstPageDocProperty \* MERGEFORMAT </w:instrText>
    </w:r>
    <w:r>
      <w:rPr>
        <w:b/>
        <w:bCs/>
      </w:rPr>
      <w:fldChar w:fldCharType="separate"/>
    </w:r>
    <w:r w:rsidRPr="00DE1BD0">
      <w:rPr>
        <w:rFonts w:ascii="Calibri" w:hAnsi="Calibri" w:cs="Calibri"/>
        <w:b/>
        <w:bCs/>
        <w:color w:val="F00000"/>
        <w:sz w:val="24"/>
      </w:rPr>
      <w:t>OFFICIAL</w:t>
    </w:r>
  </w:p>
  <w:p w14:paraId="48702BEF" w14:textId="77777777" w:rsidR="00DE1BD0" w:rsidRDefault="00DE1BD0" w:rsidP="00DE1BD0">
    <w:pPr>
      <w:pStyle w:val="Header"/>
      <w:jc w:val="center"/>
      <w:rPr>
        <w:b/>
        <w:bCs/>
      </w:rPr>
    </w:pPr>
    <w:r w:rsidRPr="00DE1BD0">
      <w:rPr>
        <w:rFonts w:ascii="Calibri" w:hAnsi="Calibri" w:cs="Calibri"/>
        <w:b/>
        <w:bCs/>
        <w:color w:val="F00000"/>
        <w:sz w:val="24"/>
      </w:rPr>
      <w:t xml:space="preserve"> </w:t>
    </w:r>
    <w:r>
      <w:rPr>
        <w:b/>
        <w:bCs/>
      </w:rPr>
      <w:fldChar w:fldCharType="end"/>
    </w:r>
  </w:p>
  <w:p w14:paraId="12524446" w14:textId="77777777" w:rsidR="0006473A" w:rsidRDefault="0006473A">
    <w:pPr>
      <w:pStyle w:val="Header"/>
      <w:jc w:val="center"/>
      <w:rPr>
        <w:b/>
        <w:bCs/>
      </w:rPr>
    </w:pPr>
    <w:r>
      <w:rPr>
        <w:b/>
        <w:bCs/>
      </w:rPr>
      <w:t>BOARD-IN-CONFIDENCE</w:t>
    </w:r>
  </w:p>
</w:hdr>
</file>

<file path=word/intelligence2.xml><?xml version="1.0" encoding="utf-8"?>
<int2:intelligence xmlns:int2="http://schemas.microsoft.com/office/intelligence/2020/intelligence" xmlns:oel="http://schemas.microsoft.com/office/2019/extlst">
  <int2:observations>
    <int2:textHash int2:hashCode="vdtaLSN2FYH4r8" int2:id="raO8r2Mf">
      <int2:state int2:value="Rejected" int2:type="LegacyProofing"/>
    </int2:textHash>
    <int2:bookmark int2:bookmarkName="_Int_gUUXzK59" int2:invalidationBookmarkName="" int2:hashCode="WIoGFyG8Q00wdo" int2:id="0e1ZIVl3">
      <int2:state int2:value="Rejected" int2:type="LegacyProofing"/>
    </int2:bookmark>
    <int2:bookmark int2:bookmarkName="_Int_TETKuCmp" int2:invalidationBookmarkName="" int2:hashCode="yaJq8pXzBEter+" int2:id="XGNLnXnu">
      <int2:state int2:value="Rejected" int2:type="LegacyProofing"/>
    </int2:bookmark>
    <int2:bookmark int2:bookmarkName="_Int_QKNSa5gI" int2:invalidationBookmarkName="" int2:hashCode="yaJq8pXzBEter+" int2:id="XobldQkr">
      <int2:state int2:value="Rejected" int2:type="LegacyProofing"/>
    </int2:bookmark>
    <int2:bookmark int2:bookmarkName="_Int_yS2jO5jj" int2:invalidationBookmarkName="" int2:hashCode="yaJq8pXzBEter+" int2:id="pBXm33Zy">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0F4F2"/>
    <w:multiLevelType w:val="multilevel"/>
    <w:tmpl w:val="6B46DAE8"/>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BF29D2"/>
    <w:multiLevelType w:val="hybridMultilevel"/>
    <w:tmpl w:val="7E167C7A"/>
    <w:lvl w:ilvl="0" w:tplc="08090003">
      <w:start w:val="1"/>
      <w:numFmt w:val="bullet"/>
      <w:lvlText w:val="o"/>
      <w:lvlJc w:val="left"/>
      <w:pPr>
        <w:ind w:left="1494" w:hanging="360"/>
      </w:pPr>
      <w:rPr>
        <w:rFonts w:ascii="Courier New" w:hAnsi="Courier New" w:cs="Courier New" w:hint="default"/>
      </w:rPr>
    </w:lvl>
    <w:lvl w:ilvl="1" w:tplc="FFFFFFFF" w:tentative="1">
      <w:start w:val="1"/>
      <w:numFmt w:val="bullet"/>
      <w:lvlText w:val="o"/>
      <w:lvlJc w:val="left"/>
      <w:pPr>
        <w:ind w:left="2214" w:hanging="360"/>
      </w:pPr>
      <w:rPr>
        <w:rFonts w:ascii="Courier New" w:hAnsi="Courier New" w:cs="Courier New" w:hint="default"/>
      </w:rPr>
    </w:lvl>
    <w:lvl w:ilvl="2" w:tplc="FFFFFFFF" w:tentative="1">
      <w:start w:val="1"/>
      <w:numFmt w:val="bullet"/>
      <w:lvlText w:val=""/>
      <w:lvlJc w:val="left"/>
      <w:pPr>
        <w:ind w:left="2934" w:hanging="360"/>
      </w:pPr>
      <w:rPr>
        <w:rFonts w:ascii="Wingdings" w:hAnsi="Wingdings" w:hint="default"/>
      </w:rPr>
    </w:lvl>
    <w:lvl w:ilvl="3" w:tplc="FFFFFFFF" w:tentative="1">
      <w:start w:val="1"/>
      <w:numFmt w:val="bullet"/>
      <w:lvlText w:val=""/>
      <w:lvlJc w:val="left"/>
      <w:pPr>
        <w:ind w:left="3654" w:hanging="360"/>
      </w:pPr>
      <w:rPr>
        <w:rFonts w:ascii="Symbol" w:hAnsi="Symbol" w:hint="default"/>
      </w:rPr>
    </w:lvl>
    <w:lvl w:ilvl="4" w:tplc="FFFFFFFF" w:tentative="1">
      <w:start w:val="1"/>
      <w:numFmt w:val="bullet"/>
      <w:lvlText w:val="o"/>
      <w:lvlJc w:val="left"/>
      <w:pPr>
        <w:ind w:left="4374" w:hanging="360"/>
      </w:pPr>
      <w:rPr>
        <w:rFonts w:ascii="Courier New" w:hAnsi="Courier New" w:cs="Courier New" w:hint="default"/>
      </w:rPr>
    </w:lvl>
    <w:lvl w:ilvl="5" w:tplc="FFFFFFFF" w:tentative="1">
      <w:start w:val="1"/>
      <w:numFmt w:val="bullet"/>
      <w:lvlText w:val=""/>
      <w:lvlJc w:val="left"/>
      <w:pPr>
        <w:ind w:left="5094" w:hanging="360"/>
      </w:pPr>
      <w:rPr>
        <w:rFonts w:ascii="Wingdings" w:hAnsi="Wingdings" w:hint="default"/>
      </w:rPr>
    </w:lvl>
    <w:lvl w:ilvl="6" w:tplc="FFFFFFFF" w:tentative="1">
      <w:start w:val="1"/>
      <w:numFmt w:val="bullet"/>
      <w:lvlText w:val=""/>
      <w:lvlJc w:val="left"/>
      <w:pPr>
        <w:ind w:left="5814" w:hanging="360"/>
      </w:pPr>
      <w:rPr>
        <w:rFonts w:ascii="Symbol" w:hAnsi="Symbol" w:hint="default"/>
      </w:rPr>
    </w:lvl>
    <w:lvl w:ilvl="7" w:tplc="FFFFFFFF" w:tentative="1">
      <w:start w:val="1"/>
      <w:numFmt w:val="bullet"/>
      <w:lvlText w:val="o"/>
      <w:lvlJc w:val="left"/>
      <w:pPr>
        <w:ind w:left="6534" w:hanging="360"/>
      </w:pPr>
      <w:rPr>
        <w:rFonts w:ascii="Courier New" w:hAnsi="Courier New" w:cs="Courier New" w:hint="default"/>
      </w:rPr>
    </w:lvl>
    <w:lvl w:ilvl="8" w:tplc="FFFFFFFF" w:tentative="1">
      <w:start w:val="1"/>
      <w:numFmt w:val="bullet"/>
      <w:lvlText w:val=""/>
      <w:lvlJc w:val="left"/>
      <w:pPr>
        <w:ind w:left="7254" w:hanging="360"/>
      </w:pPr>
      <w:rPr>
        <w:rFonts w:ascii="Wingdings" w:hAnsi="Wingdings" w:hint="default"/>
      </w:rPr>
    </w:lvl>
  </w:abstractNum>
  <w:abstractNum w:abstractNumId="2" w15:restartNumberingAfterBreak="0">
    <w:nsid w:val="06E7F8DC"/>
    <w:multiLevelType w:val="hybridMultilevel"/>
    <w:tmpl w:val="E6700232"/>
    <w:lvl w:ilvl="0" w:tplc="7D243F50">
      <w:start w:val="1"/>
      <w:numFmt w:val="lowerLetter"/>
      <w:lvlText w:val="(%1)"/>
      <w:lvlJc w:val="left"/>
      <w:pPr>
        <w:ind w:left="1287" w:hanging="360"/>
      </w:pPr>
    </w:lvl>
    <w:lvl w:ilvl="1" w:tplc="7518B680">
      <w:start w:val="1"/>
      <w:numFmt w:val="lowerLetter"/>
      <w:lvlText w:val="%2."/>
      <w:lvlJc w:val="left"/>
      <w:pPr>
        <w:ind w:left="2007" w:hanging="360"/>
      </w:pPr>
    </w:lvl>
    <w:lvl w:ilvl="2" w:tplc="FE06B520">
      <w:start w:val="1"/>
      <w:numFmt w:val="lowerRoman"/>
      <w:lvlText w:val="%3."/>
      <w:lvlJc w:val="right"/>
      <w:pPr>
        <w:ind w:left="2727" w:hanging="180"/>
      </w:pPr>
    </w:lvl>
    <w:lvl w:ilvl="3" w:tplc="1720AA38">
      <w:start w:val="1"/>
      <w:numFmt w:val="decimal"/>
      <w:lvlText w:val="%4."/>
      <w:lvlJc w:val="left"/>
      <w:pPr>
        <w:ind w:left="3447" w:hanging="360"/>
      </w:pPr>
    </w:lvl>
    <w:lvl w:ilvl="4" w:tplc="B7E68B14">
      <w:start w:val="1"/>
      <w:numFmt w:val="lowerLetter"/>
      <w:lvlText w:val="%5."/>
      <w:lvlJc w:val="left"/>
      <w:pPr>
        <w:ind w:left="4167" w:hanging="360"/>
      </w:pPr>
    </w:lvl>
    <w:lvl w:ilvl="5" w:tplc="F9388A2E">
      <w:start w:val="1"/>
      <w:numFmt w:val="lowerRoman"/>
      <w:lvlText w:val="%6."/>
      <w:lvlJc w:val="right"/>
      <w:pPr>
        <w:ind w:left="4887" w:hanging="180"/>
      </w:pPr>
    </w:lvl>
    <w:lvl w:ilvl="6" w:tplc="A89AAC4E">
      <w:start w:val="1"/>
      <w:numFmt w:val="decimal"/>
      <w:lvlText w:val="%7."/>
      <w:lvlJc w:val="left"/>
      <w:pPr>
        <w:ind w:left="5607" w:hanging="360"/>
      </w:pPr>
    </w:lvl>
    <w:lvl w:ilvl="7" w:tplc="D76C0164">
      <w:start w:val="1"/>
      <w:numFmt w:val="lowerLetter"/>
      <w:lvlText w:val="%8."/>
      <w:lvlJc w:val="left"/>
      <w:pPr>
        <w:ind w:left="6327" w:hanging="360"/>
      </w:pPr>
    </w:lvl>
    <w:lvl w:ilvl="8" w:tplc="D4EAA7C8">
      <w:start w:val="1"/>
      <w:numFmt w:val="lowerRoman"/>
      <w:lvlText w:val="%9."/>
      <w:lvlJc w:val="right"/>
      <w:pPr>
        <w:ind w:left="7047" w:hanging="180"/>
      </w:pPr>
    </w:lvl>
  </w:abstractNum>
  <w:abstractNum w:abstractNumId="3" w15:restartNumberingAfterBreak="0">
    <w:nsid w:val="0C9D0B7B"/>
    <w:multiLevelType w:val="hybridMultilevel"/>
    <w:tmpl w:val="283248D2"/>
    <w:lvl w:ilvl="0" w:tplc="B65216A0">
      <w:start w:val="1"/>
      <w:numFmt w:val="lowerLetter"/>
      <w:lvlText w:val="(%1)"/>
      <w:lvlJc w:val="left"/>
      <w:pPr>
        <w:ind w:left="128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96199C"/>
    <w:multiLevelType w:val="multilevel"/>
    <w:tmpl w:val="317E21E2"/>
    <w:lvl w:ilvl="0">
      <w:start w:val="1"/>
      <w:numFmt w:val="none"/>
      <w:lvlText w:val=""/>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E0AEE94"/>
    <w:multiLevelType w:val="hybridMultilevel"/>
    <w:tmpl w:val="29FABE2A"/>
    <w:lvl w:ilvl="0" w:tplc="CFD014E4">
      <w:start w:val="1"/>
      <w:numFmt w:val="decimal"/>
      <w:lvlText w:val="%1."/>
      <w:lvlJc w:val="left"/>
      <w:pPr>
        <w:ind w:left="720" w:hanging="360"/>
      </w:pPr>
    </w:lvl>
    <w:lvl w:ilvl="1" w:tplc="C930F58C">
      <w:start w:val="1"/>
      <w:numFmt w:val="lowerLetter"/>
      <w:lvlText w:val="(%2)"/>
      <w:lvlJc w:val="left"/>
      <w:pPr>
        <w:ind w:left="1440" w:hanging="360"/>
      </w:pPr>
    </w:lvl>
    <w:lvl w:ilvl="2" w:tplc="A9BE91D0">
      <w:start w:val="1"/>
      <w:numFmt w:val="lowerRoman"/>
      <w:lvlText w:val="%3."/>
      <w:lvlJc w:val="right"/>
      <w:pPr>
        <w:ind w:left="2160" w:hanging="180"/>
      </w:pPr>
    </w:lvl>
    <w:lvl w:ilvl="3" w:tplc="579A3DFE">
      <w:start w:val="1"/>
      <w:numFmt w:val="decimal"/>
      <w:lvlText w:val="%4."/>
      <w:lvlJc w:val="left"/>
      <w:pPr>
        <w:ind w:left="2880" w:hanging="360"/>
      </w:pPr>
    </w:lvl>
    <w:lvl w:ilvl="4" w:tplc="89D08B44">
      <w:start w:val="1"/>
      <w:numFmt w:val="lowerLetter"/>
      <w:lvlText w:val="%5."/>
      <w:lvlJc w:val="left"/>
      <w:pPr>
        <w:ind w:left="3600" w:hanging="360"/>
      </w:pPr>
    </w:lvl>
    <w:lvl w:ilvl="5" w:tplc="2F30B978">
      <w:start w:val="1"/>
      <w:numFmt w:val="lowerRoman"/>
      <w:lvlText w:val="%6."/>
      <w:lvlJc w:val="right"/>
      <w:pPr>
        <w:ind w:left="4320" w:hanging="180"/>
      </w:pPr>
    </w:lvl>
    <w:lvl w:ilvl="6" w:tplc="B71AEFAA">
      <w:start w:val="1"/>
      <w:numFmt w:val="decimal"/>
      <w:lvlText w:val="%7."/>
      <w:lvlJc w:val="left"/>
      <w:pPr>
        <w:ind w:left="5040" w:hanging="360"/>
      </w:pPr>
    </w:lvl>
    <w:lvl w:ilvl="7" w:tplc="F8F0BA82">
      <w:start w:val="1"/>
      <w:numFmt w:val="lowerLetter"/>
      <w:lvlText w:val="%8."/>
      <w:lvlJc w:val="left"/>
      <w:pPr>
        <w:ind w:left="5760" w:hanging="360"/>
      </w:pPr>
    </w:lvl>
    <w:lvl w:ilvl="8" w:tplc="89027E70">
      <w:start w:val="1"/>
      <w:numFmt w:val="lowerRoman"/>
      <w:lvlText w:val="%9."/>
      <w:lvlJc w:val="right"/>
      <w:pPr>
        <w:ind w:left="6480" w:hanging="180"/>
      </w:pPr>
    </w:lvl>
  </w:abstractNum>
  <w:abstractNum w:abstractNumId="7" w15:restartNumberingAfterBreak="0">
    <w:nsid w:val="20D005B9"/>
    <w:multiLevelType w:val="hybridMultilevel"/>
    <w:tmpl w:val="FFFFFFFF"/>
    <w:lvl w:ilvl="0" w:tplc="387E926C">
      <w:start w:val="1"/>
      <w:numFmt w:val="bullet"/>
      <w:lvlText w:val=""/>
      <w:lvlJc w:val="left"/>
      <w:pPr>
        <w:ind w:left="360" w:hanging="360"/>
      </w:pPr>
      <w:rPr>
        <w:rFonts w:ascii="Symbol" w:hAnsi="Symbol" w:hint="default"/>
      </w:rPr>
    </w:lvl>
    <w:lvl w:ilvl="1" w:tplc="C0702D0A">
      <w:start w:val="1"/>
      <w:numFmt w:val="bullet"/>
      <w:lvlText w:val="o"/>
      <w:lvlJc w:val="left"/>
      <w:pPr>
        <w:ind w:left="1440" w:hanging="360"/>
      </w:pPr>
      <w:rPr>
        <w:rFonts w:ascii="Courier New" w:hAnsi="Courier New" w:hint="default"/>
      </w:rPr>
    </w:lvl>
    <w:lvl w:ilvl="2" w:tplc="1E1A3CB6">
      <w:start w:val="1"/>
      <w:numFmt w:val="bullet"/>
      <w:lvlText w:val=""/>
      <w:lvlJc w:val="left"/>
      <w:pPr>
        <w:ind w:left="2160" w:hanging="360"/>
      </w:pPr>
      <w:rPr>
        <w:rFonts w:ascii="Wingdings" w:hAnsi="Wingdings" w:hint="default"/>
      </w:rPr>
    </w:lvl>
    <w:lvl w:ilvl="3" w:tplc="7818B928">
      <w:start w:val="1"/>
      <w:numFmt w:val="bullet"/>
      <w:lvlText w:val=""/>
      <w:lvlJc w:val="left"/>
      <w:pPr>
        <w:ind w:left="2880" w:hanging="360"/>
      </w:pPr>
      <w:rPr>
        <w:rFonts w:ascii="Symbol" w:hAnsi="Symbol" w:hint="default"/>
      </w:rPr>
    </w:lvl>
    <w:lvl w:ilvl="4" w:tplc="B54C9F74">
      <w:start w:val="1"/>
      <w:numFmt w:val="bullet"/>
      <w:lvlText w:val="o"/>
      <w:lvlJc w:val="left"/>
      <w:pPr>
        <w:ind w:left="3600" w:hanging="360"/>
      </w:pPr>
      <w:rPr>
        <w:rFonts w:ascii="Courier New" w:hAnsi="Courier New" w:hint="default"/>
      </w:rPr>
    </w:lvl>
    <w:lvl w:ilvl="5" w:tplc="8F2893F6">
      <w:start w:val="1"/>
      <w:numFmt w:val="bullet"/>
      <w:lvlText w:val=""/>
      <w:lvlJc w:val="left"/>
      <w:pPr>
        <w:ind w:left="4320" w:hanging="360"/>
      </w:pPr>
      <w:rPr>
        <w:rFonts w:ascii="Wingdings" w:hAnsi="Wingdings" w:hint="default"/>
      </w:rPr>
    </w:lvl>
    <w:lvl w:ilvl="6" w:tplc="F24CD1AA">
      <w:start w:val="1"/>
      <w:numFmt w:val="bullet"/>
      <w:lvlText w:val=""/>
      <w:lvlJc w:val="left"/>
      <w:pPr>
        <w:ind w:left="5040" w:hanging="360"/>
      </w:pPr>
      <w:rPr>
        <w:rFonts w:ascii="Symbol" w:hAnsi="Symbol" w:hint="default"/>
      </w:rPr>
    </w:lvl>
    <w:lvl w:ilvl="7" w:tplc="E348EDFA">
      <w:start w:val="1"/>
      <w:numFmt w:val="bullet"/>
      <w:lvlText w:val="o"/>
      <w:lvlJc w:val="left"/>
      <w:pPr>
        <w:ind w:left="5760" w:hanging="360"/>
      </w:pPr>
      <w:rPr>
        <w:rFonts w:ascii="Courier New" w:hAnsi="Courier New" w:hint="default"/>
      </w:rPr>
    </w:lvl>
    <w:lvl w:ilvl="8" w:tplc="5192C70A">
      <w:start w:val="1"/>
      <w:numFmt w:val="bullet"/>
      <w:lvlText w:val=""/>
      <w:lvlJc w:val="left"/>
      <w:pPr>
        <w:ind w:left="6480" w:hanging="360"/>
      </w:pPr>
      <w:rPr>
        <w:rFonts w:ascii="Wingdings" w:hAnsi="Wingdings" w:hint="default"/>
      </w:rPr>
    </w:lvl>
  </w:abstractNum>
  <w:abstractNum w:abstractNumId="8" w15:restartNumberingAfterBreak="0">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EEC1B8"/>
    <w:multiLevelType w:val="hybridMultilevel"/>
    <w:tmpl w:val="C4D4B398"/>
    <w:lvl w:ilvl="0" w:tplc="53F669EE">
      <w:start w:val="3"/>
      <w:numFmt w:val="lowerLetter"/>
      <w:lvlText w:val="(%1)"/>
      <w:lvlJc w:val="left"/>
      <w:pPr>
        <w:ind w:left="1287" w:hanging="360"/>
      </w:pPr>
    </w:lvl>
    <w:lvl w:ilvl="1" w:tplc="489AB9A2">
      <w:start w:val="1"/>
      <w:numFmt w:val="lowerLetter"/>
      <w:lvlText w:val="%2."/>
      <w:lvlJc w:val="left"/>
      <w:pPr>
        <w:ind w:left="2007" w:hanging="360"/>
      </w:pPr>
    </w:lvl>
    <w:lvl w:ilvl="2" w:tplc="073CDD86">
      <w:start w:val="1"/>
      <w:numFmt w:val="lowerRoman"/>
      <w:lvlText w:val="%3."/>
      <w:lvlJc w:val="right"/>
      <w:pPr>
        <w:ind w:left="2727" w:hanging="180"/>
      </w:pPr>
    </w:lvl>
    <w:lvl w:ilvl="3" w:tplc="0D4C8A88">
      <w:start w:val="1"/>
      <w:numFmt w:val="decimal"/>
      <w:lvlText w:val="%4."/>
      <w:lvlJc w:val="left"/>
      <w:pPr>
        <w:ind w:left="3447" w:hanging="360"/>
      </w:pPr>
    </w:lvl>
    <w:lvl w:ilvl="4" w:tplc="E79AC226">
      <w:start w:val="1"/>
      <w:numFmt w:val="lowerLetter"/>
      <w:lvlText w:val="%5."/>
      <w:lvlJc w:val="left"/>
      <w:pPr>
        <w:ind w:left="4167" w:hanging="360"/>
      </w:pPr>
    </w:lvl>
    <w:lvl w:ilvl="5" w:tplc="BD4A7130">
      <w:start w:val="1"/>
      <w:numFmt w:val="lowerRoman"/>
      <w:lvlText w:val="%6."/>
      <w:lvlJc w:val="right"/>
      <w:pPr>
        <w:ind w:left="4887" w:hanging="180"/>
      </w:pPr>
    </w:lvl>
    <w:lvl w:ilvl="6" w:tplc="A46AF69C">
      <w:start w:val="1"/>
      <w:numFmt w:val="decimal"/>
      <w:lvlText w:val="%7."/>
      <w:lvlJc w:val="left"/>
      <w:pPr>
        <w:ind w:left="5607" w:hanging="360"/>
      </w:pPr>
    </w:lvl>
    <w:lvl w:ilvl="7" w:tplc="6B98FDDC">
      <w:start w:val="1"/>
      <w:numFmt w:val="lowerLetter"/>
      <w:lvlText w:val="%8."/>
      <w:lvlJc w:val="left"/>
      <w:pPr>
        <w:ind w:left="6327" w:hanging="360"/>
      </w:pPr>
    </w:lvl>
    <w:lvl w:ilvl="8" w:tplc="85F0D808">
      <w:start w:val="1"/>
      <w:numFmt w:val="lowerRoman"/>
      <w:lvlText w:val="%9."/>
      <w:lvlJc w:val="right"/>
      <w:pPr>
        <w:ind w:left="7047" w:hanging="180"/>
      </w:pPr>
    </w:lvl>
  </w:abstractNum>
  <w:abstractNum w:abstractNumId="10" w15:restartNumberingAfterBreak="0">
    <w:nsid w:val="30EA37F3"/>
    <w:multiLevelType w:val="hybridMultilevel"/>
    <w:tmpl w:val="527CE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9CB713A"/>
    <w:multiLevelType w:val="multilevel"/>
    <w:tmpl w:val="CC5EC82E"/>
    <w:lvl w:ilvl="0">
      <w:start w:val="1"/>
      <w:numFmt w:val="decimal"/>
      <w:pStyle w:val="Heading1"/>
      <w:isLgl/>
      <w:lvlText w:val="%1 "/>
      <w:lvlJc w:val="left"/>
      <w:pPr>
        <w:ind w:left="851" w:hanging="851"/>
      </w:pPr>
      <w:rPr>
        <w:rFonts w:hint="default"/>
      </w:rPr>
    </w:lvl>
    <w:lvl w:ilvl="1">
      <w:start w:val="1"/>
      <w:numFmt w:val="decimal"/>
      <w:pStyle w:val="Heading2"/>
      <w:lvlText w:val="%1.%2 "/>
      <w:lvlJc w:val="left"/>
      <w:pPr>
        <w:tabs>
          <w:tab w:val="num" w:pos="851"/>
        </w:tabs>
        <w:ind w:left="851" w:hanging="851"/>
      </w:pPr>
      <w:rPr>
        <w:rFonts w:hint="default"/>
      </w:rPr>
    </w:lvl>
    <w:lvl w:ilvl="2">
      <w:start w:val="1"/>
      <w:numFmt w:val="decimal"/>
      <w:pStyle w:val="Heading3"/>
      <w:lvlText w:val="%1.%2.%3 "/>
      <w:lvlJc w:val="left"/>
      <w:pPr>
        <w:tabs>
          <w:tab w:val="num" w:pos="851"/>
        </w:tabs>
        <w:ind w:left="851" w:hanging="851"/>
      </w:pPr>
      <w:rPr>
        <w:rFonts w:hint="default"/>
      </w:rPr>
    </w:lvl>
    <w:lvl w:ilvl="3">
      <w:start w:val="1"/>
      <w:numFmt w:val="decimal"/>
      <w:pStyle w:val="Heading4"/>
      <w:lvlText w:val="%1.%2.%3.%4 "/>
      <w:lvlJc w:val="left"/>
      <w:pPr>
        <w:tabs>
          <w:tab w:val="num" w:pos="851"/>
        </w:tabs>
        <w:ind w:left="851" w:hanging="851"/>
      </w:pPr>
      <w:rPr>
        <w:rFonts w:hint="default"/>
      </w:rPr>
    </w:lvl>
    <w:lvl w:ilvl="4">
      <w:start w:val="1"/>
      <w:numFmt w:val="decimal"/>
      <w:pStyle w:val="Heading5"/>
      <w:suff w:val="space"/>
      <w:lvlText w:val="%1.%2.%3.%4.%5 "/>
      <w:lvlJc w:val="left"/>
      <w:pPr>
        <w:ind w:left="0" w:firstLine="0"/>
      </w:pPr>
      <w:rPr>
        <w:rFonts w:hint="default"/>
      </w:rPr>
    </w:lvl>
    <w:lvl w:ilvl="5">
      <w:start w:val="1"/>
      <w:numFmt w:val="decimal"/>
      <w:lvlText w:val="%1.%2.%3.%4.%5.%6"/>
      <w:lvlJc w:val="left"/>
      <w:pPr>
        <w:tabs>
          <w:tab w:val="num" w:pos="851"/>
        </w:tabs>
        <w:ind w:left="851" w:hanging="851"/>
      </w:pPr>
      <w:rPr>
        <w:rFonts w:hint="default"/>
      </w:rPr>
    </w:lvl>
    <w:lvl w:ilvl="6">
      <w:start w:val="1"/>
      <w:numFmt w:val="decimal"/>
      <w:lvlText w:val="%1.%2.%3.%4.%5.%6.%7"/>
      <w:lvlJc w:val="left"/>
      <w:pPr>
        <w:tabs>
          <w:tab w:val="num" w:pos="851"/>
        </w:tabs>
        <w:ind w:left="851" w:hanging="851"/>
      </w:pPr>
      <w:rPr>
        <w:rFonts w:hint="default"/>
      </w:rPr>
    </w:lvl>
    <w:lvl w:ilvl="7">
      <w:start w:val="1"/>
      <w:numFmt w:val="decimal"/>
      <w:lvlText w:val="%1.%2.%3.%4.%5.%6.%7.%8"/>
      <w:lvlJc w:val="left"/>
      <w:pPr>
        <w:tabs>
          <w:tab w:val="num" w:pos="851"/>
        </w:tabs>
        <w:ind w:left="851" w:hanging="851"/>
      </w:pPr>
      <w:rPr>
        <w:rFonts w:hint="default"/>
      </w:rPr>
    </w:lvl>
    <w:lvl w:ilvl="8">
      <w:start w:val="1"/>
      <w:numFmt w:val="decimal"/>
      <w:lvlText w:val="%1.%2.%3.%4.%5.%6.%7.%8.%9"/>
      <w:lvlJc w:val="left"/>
      <w:pPr>
        <w:tabs>
          <w:tab w:val="num" w:pos="851"/>
        </w:tabs>
        <w:ind w:left="851" w:hanging="851"/>
      </w:pPr>
      <w:rPr>
        <w:rFonts w:hint="default"/>
      </w:rPr>
    </w:lvl>
  </w:abstractNum>
  <w:abstractNum w:abstractNumId="12" w15:restartNumberingAfterBreak="0">
    <w:nsid w:val="4162176C"/>
    <w:multiLevelType w:val="multilevel"/>
    <w:tmpl w:val="1F30FCB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15:restartNumberingAfterBreak="0">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4" w15:restartNumberingAfterBreak="0">
    <w:nsid w:val="5225292B"/>
    <w:multiLevelType w:val="hybridMultilevel"/>
    <w:tmpl w:val="14BA93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4375B71"/>
    <w:multiLevelType w:val="multilevel"/>
    <w:tmpl w:val="227AF4EE"/>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F0184A0"/>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9942C55"/>
    <w:multiLevelType w:val="hybridMultilevel"/>
    <w:tmpl w:val="0556EEAC"/>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8" w15:restartNumberingAfterBreak="0">
    <w:nsid w:val="6A4E7B09"/>
    <w:multiLevelType w:val="hybridMultilevel"/>
    <w:tmpl w:val="A28693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D1A9DCF"/>
    <w:multiLevelType w:val="hybridMultilevel"/>
    <w:tmpl w:val="D480D7E8"/>
    <w:lvl w:ilvl="0" w:tplc="61124E4A">
      <w:start w:val="1"/>
      <w:numFmt w:val="decimal"/>
      <w:lvlText w:val="%1."/>
      <w:lvlJc w:val="left"/>
      <w:pPr>
        <w:ind w:left="720" w:hanging="360"/>
      </w:pPr>
    </w:lvl>
    <w:lvl w:ilvl="1" w:tplc="0358AA72">
      <w:start w:val="1"/>
      <w:numFmt w:val="lowerRoman"/>
      <w:lvlText w:val="(%2)"/>
      <w:lvlJc w:val="right"/>
      <w:pPr>
        <w:ind w:left="1440" w:hanging="360"/>
      </w:pPr>
    </w:lvl>
    <w:lvl w:ilvl="2" w:tplc="708AE51E">
      <w:start w:val="1"/>
      <w:numFmt w:val="lowerRoman"/>
      <w:lvlText w:val="%3."/>
      <w:lvlJc w:val="right"/>
      <w:pPr>
        <w:ind w:left="2160" w:hanging="180"/>
      </w:pPr>
    </w:lvl>
    <w:lvl w:ilvl="3" w:tplc="6D98DFD0">
      <w:start w:val="1"/>
      <w:numFmt w:val="decimal"/>
      <w:lvlText w:val="%4."/>
      <w:lvlJc w:val="left"/>
      <w:pPr>
        <w:ind w:left="2880" w:hanging="360"/>
      </w:pPr>
    </w:lvl>
    <w:lvl w:ilvl="4" w:tplc="CB169714">
      <w:start w:val="1"/>
      <w:numFmt w:val="lowerLetter"/>
      <w:lvlText w:val="%5."/>
      <w:lvlJc w:val="left"/>
      <w:pPr>
        <w:ind w:left="3600" w:hanging="360"/>
      </w:pPr>
    </w:lvl>
    <w:lvl w:ilvl="5" w:tplc="4A482F66">
      <w:start w:val="1"/>
      <w:numFmt w:val="lowerRoman"/>
      <w:lvlText w:val="%6."/>
      <w:lvlJc w:val="right"/>
      <w:pPr>
        <w:ind w:left="4320" w:hanging="180"/>
      </w:pPr>
    </w:lvl>
    <w:lvl w:ilvl="6" w:tplc="C7CA4740">
      <w:start w:val="1"/>
      <w:numFmt w:val="decimal"/>
      <w:lvlText w:val="%7."/>
      <w:lvlJc w:val="left"/>
      <w:pPr>
        <w:ind w:left="5040" w:hanging="360"/>
      </w:pPr>
    </w:lvl>
    <w:lvl w:ilvl="7" w:tplc="EF4A83E4">
      <w:start w:val="1"/>
      <w:numFmt w:val="lowerLetter"/>
      <w:lvlText w:val="%8."/>
      <w:lvlJc w:val="left"/>
      <w:pPr>
        <w:ind w:left="5760" w:hanging="360"/>
      </w:pPr>
    </w:lvl>
    <w:lvl w:ilvl="8" w:tplc="27124F10">
      <w:start w:val="1"/>
      <w:numFmt w:val="lowerRoman"/>
      <w:lvlText w:val="%9."/>
      <w:lvlJc w:val="right"/>
      <w:pPr>
        <w:ind w:left="6480" w:hanging="180"/>
      </w:pPr>
    </w:lvl>
  </w:abstractNum>
  <w:abstractNum w:abstractNumId="20" w15:restartNumberingAfterBreak="0">
    <w:nsid w:val="71755AD1"/>
    <w:multiLevelType w:val="hybridMultilevel"/>
    <w:tmpl w:val="47D875F0"/>
    <w:lvl w:ilvl="0" w:tplc="FFFFFFFF">
      <w:start w:val="1"/>
      <w:numFmt w:val="bullet"/>
      <w:lvlText w:val=""/>
      <w:lvlJc w:val="left"/>
      <w:pPr>
        <w:ind w:left="360" w:hanging="360"/>
      </w:pPr>
      <w:rPr>
        <w:rFonts w:ascii="Symbol" w:hAnsi="Symbol" w:hint="default"/>
      </w:rPr>
    </w:lvl>
    <w:lvl w:ilvl="1" w:tplc="08090003">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21" w15:restartNumberingAfterBreak="0">
    <w:nsid w:val="71C84F80"/>
    <w:multiLevelType w:val="hybridMultilevel"/>
    <w:tmpl w:val="C8701D04"/>
    <w:lvl w:ilvl="0" w:tplc="F3B6239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7537AAF"/>
    <w:multiLevelType w:val="hybridMultilevel"/>
    <w:tmpl w:val="DE1C76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B895BCB"/>
    <w:multiLevelType w:val="hybridMultilevel"/>
    <w:tmpl w:val="542222F0"/>
    <w:lvl w:ilvl="0" w:tplc="BA527C38">
      <w:start w:val="1"/>
      <w:numFmt w:val="lowerLetter"/>
      <w:lvlText w:val="(%1)"/>
      <w:lvlJc w:val="left"/>
      <w:pPr>
        <w:ind w:left="1287" w:hanging="360"/>
      </w:pPr>
    </w:lvl>
    <w:lvl w:ilvl="1" w:tplc="07D6F940">
      <w:start w:val="1"/>
      <w:numFmt w:val="lowerLetter"/>
      <w:lvlText w:val="%2."/>
      <w:lvlJc w:val="left"/>
      <w:pPr>
        <w:ind w:left="2007" w:hanging="360"/>
      </w:pPr>
    </w:lvl>
    <w:lvl w:ilvl="2" w:tplc="B4BE935A">
      <w:start w:val="1"/>
      <w:numFmt w:val="lowerRoman"/>
      <w:lvlText w:val="%3."/>
      <w:lvlJc w:val="right"/>
      <w:pPr>
        <w:ind w:left="2727" w:hanging="180"/>
      </w:pPr>
    </w:lvl>
    <w:lvl w:ilvl="3" w:tplc="896EA45C">
      <w:start w:val="1"/>
      <w:numFmt w:val="decimal"/>
      <w:lvlText w:val="%4."/>
      <w:lvlJc w:val="left"/>
      <w:pPr>
        <w:ind w:left="3447" w:hanging="360"/>
      </w:pPr>
    </w:lvl>
    <w:lvl w:ilvl="4" w:tplc="CAE41336">
      <w:start w:val="1"/>
      <w:numFmt w:val="lowerLetter"/>
      <w:lvlText w:val="%5."/>
      <w:lvlJc w:val="left"/>
      <w:pPr>
        <w:ind w:left="4167" w:hanging="360"/>
      </w:pPr>
    </w:lvl>
    <w:lvl w:ilvl="5" w:tplc="4BF8C676">
      <w:start w:val="1"/>
      <w:numFmt w:val="lowerRoman"/>
      <w:lvlText w:val="%6."/>
      <w:lvlJc w:val="right"/>
      <w:pPr>
        <w:ind w:left="4887" w:hanging="180"/>
      </w:pPr>
    </w:lvl>
    <w:lvl w:ilvl="6" w:tplc="494C4CA0">
      <w:start w:val="1"/>
      <w:numFmt w:val="decimal"/>
      <w:lvlText w:val="%7."/>
      <w:lvlJc w:val="left"/>
      <w:pPr>
        <w:ind w:left="5607" w:hanging="360"/>
      </w:pPr>
    </w:lvl>
    <w:lvl w:ilvl="7" w:tplc="080E77D0">
      <w:start w:val="1"/>
      <w:numFmt w:val="lowerLetter"/>
      <w:lvlText w:val="%8."/>
      <w:lvlJc w:val="left"/>
      <w:pPr>
        <w:ind w:left="6327" w:hanging="360"/>
      </w:pPr>
    </w:lvl>
    <w:lvl w:ilvl="8" w:tplc="0524ABCC">
      <w:start w:val="1"/>
      <w:numFmt w:val="lowerRoman"/>
      <w:lvlText w:val="%9."/>
      <w:lvlJc w:val="right"/>
      <w:pPr>
        <w:ind w:left="7047" w:hanging="180"/>
      </w:pPr>
    </w:lvl>
  </w:abstractNum>
  <w:abstractNum w:abstractNumId="24" w15:restartNumberingAfterBreak="0">
    <w:nsid w:val="7BD85990"/>
    <w:multiLevelType w:val="hybridMultilevel"/>
    <w:tmpl w:val="19BA5A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EA30C97"/>
    <w:multiLevelType w:val="hybridMultilevel"/>
    <w:tmpl w:val="3A02B1DC"/>
    <w:lvl w:ilvl="0" w:tplc="53F669EE">
      <w:start w:val="3"/>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num w:numId="1" w16cid:durableId="2058773651">
    <w:abstractNumId w:val="9"/>
  </w:num>
  <w:num w:numId="2" w16cid:durableId="953436873">
    <w:abstractNumId w:val="2"/>
  </w:num>
  <w:num w:numId="3" w16cid:durableId="1377126297">
    <w:abstractNumId w:val="0"/>
  </w:num>
  <w:num w:numId="4" w16cid:durableId="2069062316">
    <w:abstractNumId w:val="6"/>
  </w:num>
  <w:num w:numId="5" w16cid:durableId="699671450">
    <w:abstractNumId w:val="23"/>
  </w:num>
  <w:num w:numId="6" w16cid:durableId="321393982">
    <w:abstractNumId w:val="19"/>
  </w:num>
  <w:num w:numId="7" w16cid:durableId="239950761">
    <w:abstractNumId w:val="8"/>
  </w:num>
  <w:num w:numId="8" w16cid:durableId="1003319844">
    <w:abstractNumId w:val="13"/>
  </w:num>
  <w:num w:numId="9" w16cid:durableId="699550026">
    <w:abstractNumId w:val="5"/>
  </w:num>
  <w:num w:numId="10" w16cid:durableId="1697539470">
    <w:abstractNumId w:val="12"/>
  </w:num>
  <w:num w:numId="11" w16cid:durableId="1168668471">
    <w:abstractNumId w:val="4"/>
  </w:num>
  <w:num w:numId="12" w16cid:durableId="1469977388">
    <w:abstractNumId w:val="11"/>
  </w:num>
  <w:num w:numId="13" w16cid:durableId="10290665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31233414">
    <w:abstractNumId w:val="20"/>
  </w:num>
  <w:num w:numId="15" w16cid:durableId="630329873">
    <w:abstractNumId w:val="17"/>
  </w:num>
  <w:num w:numId="16" w16cid:durableId="1025448808">
    <w:abstractNumId w:val="1"/>
  </w:num>
  <w:num w:numId="17" w16cid:durableId="530260657">
    <w:abstractNumId w:val="15"/>
  </w:num>
  <w:num w:numId="18" w16cid:durableId="422073724">
    <w:abstractNumId w:val="21"/>
  </w:num>
  <w:num w:numId="19" w16cid:durableId="1022590835">
    <w:abstractNumId w:val="10"/>
  </w:num>
  <w:num w:numId="20" w16cid:durableId="1112285185">
    <w:abstractNumId w:val="25"/>
  </w:num>
  <w:num w:numId="21" w16cid:durableId="1829468983">
    <w:abstractNumId w:val="3"/>
  </w:num>
  <w:num w:numId="22" w16cid:durableId="1072629097">
    <w:abstractNumId w:val="14"/>
  </w:num>
  <w:num w:numId="23" w16cid:durableId="1118790589">
    <w:abstractNumId w:val="18"/>
  </w:num>
  <w:num w:numId="24" w16cid:durableId="226689048">
    <w:abstractNumId w:val="24"/>
  </w:num>
  <w:num w:numId="25" w16cid:durableId="1027172508">
    <w:abstractNumId w:val="16"/>
  </w:num>
  <w:num w:numId="26" w16cid:durableId="2047410979">
    <w:abstractNumId w:val="7"/>
  </w:num>
  <w:num w:numId="27" w16cid:durableId="74402943">
    <w:abstractNumId w:val="8"/>
  </w:num>
  <w:num w:numId="28" w16cid:durableId="2029332756">
    <w:abstractNumId w:val="8"/>
  </w:num>
  <w:num w:numId="29" w16cid:durableId="341249391">
    <w:abstractNumId w:val="8"/>
  </w:num>
  <w:num w:numId="30" w16cid:durableId="257718466">
    <w:abstractNumId w:val="22"/>
  </w:num>
  <w:num w:numId="31" w16cid:durableId="20669062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06308991">
    <w:abstractNumId w:val="8"/>
  </w:num>
  <w:num w:numId="33" w16cid:durableId="1464227319">
    <w:abstractNumId w:val="8"/>
  </w:num>
  <w:num w:numId="34" w16cid:durableId="436490377">
    <w:abstractNumId w:val="8"/>
  </w:num>
  <w:num w:numId="35" w16cid:durableId="1697075173">
    <w:abstractNumId w:val="8"/>
  </w:num>
  <w:num w:numId="36" w16cid:durableId="1375618904">
    <w:abstractNumId w:val="8"/>
  </w:num>
  <w:num w:numId="37" w16cid:durableId="1168205325">
    <w:abstractNumId w:val="8"/>
  </w:num>
  <w:num w:numId="38" w16cid:durableId="1533611388">
    <w:abstractNumId w:val="8"/>
  </w:num>
  <w:num w:numId="39" w16cid:durableId="278949803">
    <w:abstractNumId w:val="8"/>
  </w:num>
  <w:num w:numId="40" w16cid:durableId="829255096">
    <w:abstractNumId w:val="8"/>
  </w:num>
  <w:num w:numId="41" w16cid:durableId="1972784325">
    <w:abstractNumId w:val="8"/>
  </w:num>
  <w:num w:numId="42" w16cid:durableId="1645502678">
    <w:abstractNumId w:val="8"/>
  </w:num>
  <w:num w:numId="43" w16cid:durableId="1060710261">
    <w:abstractNumId w:val="8"/>
  </w:num>
  <w:num w:numId="44" w16cid:durableId="1563826103">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FB5"/>
    <w:rsid w:val="00001CF2"/>
    <w:rsid w:val="0000247B"/>
    <w:rsid w:val="00002665"/>
    <w:rsid w:val="0000439F"/>
    <w:rsid w:val="0000469B"/>
    <w:rsid w:val="00004E5F"/>
    <w:rsid w:val="00006D88"/>
    <w:rsid w:val="00007BD1"/>
    <w:rsid w:val="000116F6"/>
    <w:rsid w:val="000127FA"/>
    <w:rsid w:val="00013EE0"/>
    <w:rsid w:val="000146DF"/>
    <w:rsid w:val="00015FCA"/>
    <w:rsid w:val="00016534"/>
    <w:rsid w:val="00020678"/>
    <w:rsid w:val="000244FD"/>
    <w:rsid w:val="00024A14"/>
    <w:rsid w:val="000252DF"/>
    <w:rsid w:val="000255AF"/>
    <w:rsid w:val="00026405"/>
    <w:rsid w:val="000272E6"/>
    <w:rsid w:val="00030339"/>
    <w:rsid w:val="00030EBE"/>
    <w:rsid w:val="0003304A"/>
    <w:rsid w:val="00033F7F"/>
    <w:rsid w:val="00035FF3"/>
    <w:rsid w:val="00036E89"/>
    <w:rsid w:val="00037245"/>
    <w:rsid w:val="00037451"/>
    <w:rsid w:val="00037C0D"/>
    <w:rsid w:val="000414B4"/>
    <w:rsid w:val="000460DC"/>
    <w:rsid w:val="000467A3"/>
    <w:rsid w:val="00046A84"/>
    <w:rsid w:val="00046DCA"/>
    <w:rsid w:val="000477A8"/>
    <w:rsid w:val="00047C5A"/>
    <w:rsid w:val="00051021"/>
    <w:rsid w:val="0005181A"/>
    <w:rsid w:val="00051CDC"/>
    <w:rsid w:val="00051ED9"/>
    <w:rsid w:val="00052CBF"/>
    <w:rsid w:val="00054285"/>
    <w:rsid w:val="00054777"/>
    <w:rsid w:val="00054CA2"/>
    <w:rsid w:val="00055B4B"/>
    <w:rsid w:val="00057181"/>
    <w:rsid w:val="000573E9"/>
    <w:rsid w:val="0006031E"/>
    <w:rsid w:val="00062BE9"/>
    <w:rsid w:val="0006401B"/>
    <w:rsid w:val="0006473A"/>
    <w:rsid w:val="00064B2D"/>
    <w:rsid w:val="00065F1F"/>
    <w:rsid w:val="00067DF4"/>
    <w:rsid w:val="00071AF8"/>
    <w:rsid w:val="00073509"/>
    <w:rsid w:val="00074B21"/>
    <w:rsid w:val="000769C5"/>
    <w:rsid w:val="00076D33"/>
    <w:rsid w:val="00077DF9"/>
    <w:rsid w:val="000822A5"/>
    <w:rsid w:val="00083610"/>
    <w:rsid w:val="00083682"/>
    <w:rsid w:val="00083AC5"/>
    <w:rsid w:val="00084A4D"/>
    <w:rsid w:val="00085065"/>
    <w:rsid w:val="000850B3"/>
    <w:rsid w:val="00086CAE"/>
    <w:rsid w:val="00087D18"/>
    <w:rsid w:val="00090D02"/>
    <w:rsid w:val="00091A4F"/>
    <w:rsid w:val="00092CDA"/>
    <w:rsid w:val="00094F42"/>
    <w:rsid w:val="00095A3D"/>
    <w:rsid w:val="000A06B4"/>
    <w:rsid w:val="000A0952"/>
    <w:rsid w:val="000A27E9"/>
    <w:rsid w:val="000A2AA1"/>
    <w:rsid w:val="000A35AD"/>
    <w:rsid w:val="000A3D8B"/>
    <w:rsid w:val="000A5DF8"/>
    <w:rsid w:val="000A77AC"/>
    <w:rsid w:val="000B0581"/>
    <w:rsid w:val="000B313D"/>
    <w:rsid w:val="000B6AF2"/>
    <w:rsid w:val="000C2B0B"/>
    <w:rsid w:val="000C511A"/>
    <w:rsid w:val="000C5921"/>
    <w:rsid w:val="000C6716"/>
    <w:rsid w:val="000D293D"/>
    <w:rsid w:val="000D4FC4"/>
    <w:rsid w:val="000D6FD4"/>
    <w:rsid w:val="000D7C23"/>
    <w:rsid w:val="000E0292"/>
    <w:rsid w:val="000E09BF"/>
    <w:rsid w:val="000E0AE4"/>
    <w:rsid w:val="000E3DBC"/>
    <w:rsid w:val="000E7E44"/>
    <w:rsid w:val="000F0F66"/>
    <w:rsid w:val="000F1028"/>
    <w:rsid w:val="000F12EB"/>
    <w:rsid w:val="000F20D3"/>
    <w:rsid w:val="000F2EFB"/>
    <w:rsid w:val="001001F2"/>
    <w:rsid w:val="001020D7"/>
    <w:rsid w:val="00103057"/>
    <w:rsid w:val="00103BB0"/>
    <w:rsid w:val="0010526C"/>
    <w:rsid w:val="00106D4B"/>
    <w:rsid w:val="00107D9F"/>
    <w:rsid w:val="001132F9"/>
    <w:rsid w:val="00113CE3"/>
    <w:rsid w:val="001141E0"/>
    <w:rsid w:val="0011453F"/>
    <w:rsid w:val="00114CED"/>
    <w:rsid w:val="00114FA9"/>
    <w:rsid w:val="00117522"/>
    <w:rsid w:val="00121092"/>
    <w:rsid w:val="00121B51"/>
    <w:rsid w:val="00122596"/>
    <w:rsid w:val="00122E31"/>
    <w:rsid w:val="001233D6"/>
    <w:rsid w:val="001267C1"/>
    <w:rsid w:val="001275F1"/>
    <w:rsid w:val="0013177D"/>
    <w:rsid w:val="00135428"/>
    <w:rsid w:val="001407A1"/>
    <w:rsid w:val="001415A2"/>
    <w:rsid w:val="00141816"/>
    <w:rsid w:val="00145853"/>
    <w:rsid w:val="001461A4"/>
    <w:rsid w:val="00147515"/>
    <w:rsid w:val="00147755"/>
    <w:rsid w:val="00150D9C"/>
    <w:rsid w:val="001516CA"/>
    <w:rsid w:val="001516E6"/>
    <w:rsid w:val="001536AF"/>
    <w:rsid w:val="001542D8"/>
    <w:rsid w:val="00154545"/>
    <w:rsid w:val="00154895"/>
    <w:rsid w:val="001551A0"/>
    <w:rsid w:val="00156F81"/>
    <w:rsid w:val="001570B9"/>
    <w:rsid w:val="001622AC"/>
    <w:rsid w:val="00162944"/>
    <w:rsid w:val="0016465B"/>
    <w:rsid w:val="00164CF1"/>
    <w:rsid w:val="001659E8"/>
    <w:rsid w:val="00167D1D"/>
    <w:rsid w:val="00170A60"/>
    <w:rsid w:val="001740B5"/>
    <w:rsid w:val="00176281"/>
    <w:rsid w:val="00177228"/>
    <w:rsid w:val="00180C41"/>
    <w:rsid w:val="001816AD"/>
    <w:rsid w:val="00182C4C"/>
    <w:rsid w:val="0018479C"/>
    <w:rsid w:val="00184EFB"/>
    <w:rsid w:val="0018617A"/>
    <w:rsid w:val="00186F89"/>
    <w:rsid w:val="0019372D"/>
    <w:rsid w:val="00193796"/>
    <w:rsid w:val="00193E55"/>
    <w:rsid w:val="001945D5"/>
    <w:rsid w:val="001952D9"/>
    <w:rsid w:val="0019690A"/>
    <w:rsid w:val="00196A84"/>
    <w:rsid w:val="00197D8D"/>
    <w:rsid w:val="001A07EF"/>
    <w:rsid w:val="001A1A75"/>
    <w:rsid w:val="001A2128"/>
    <w:rsid w:val="001A474F"/>
    <w:rsid w:val="001A6941"/>
    <w:rsid w:val="001A6998"/>
    <w:rsid w:val="001A73CD"/>
    <w:rsid w:val="001A7E9A"/>
    <w:rsid w:val="001B1869"/>
    <w:rsid w:val="001B19C7"/>
    <w:rsid w:val="001B3E47"/>
    <w:rsid w:val="001B467F"/>
    <w:rsid w:val="001B49ED"/>
    <w:rsid w:val="001B4E5E"/>
    <w:rsid w:val="001B55EB"/>
    <w:rsid w:val="001B585A"/>
    <w:rsid w:val="001B5D4C"/>
    <w:rsid w:val="001B6AA5"/>
    <w:rsid w:val="001B725D"/>
    <w:rsid w:val="001C27A3"/>
    <w:rsid w:val="001C4931"/>
    <w:rsid w:val="001C5295"/>
    <w:rsid w:val="001C7069"/>
    <w:rsid w:val="001C718A"/>
    <w:rsid w:val="001C7C6B"/>
    <w:rsid w:val="001D11FC"/>
    <w:rsid w:val="001D1F1F"/>
    <w:rsid w:val="001D29CA"/>
    <w:rsid w:val="001D6595"/>
    <w:rsid w:val="001E09FA"/>
    <w:rsid w:val="001E0D34"/>
    <w:rsid w:val="001E117A"/>
    <w:rsid w:val="001E2578"/>
    <w:rsid w:val="001E2917"/>
    <w:rsid w:val="001E2ECB"/>
    <w:rsid w:val="001E3619"/>
    <w:rsid w:val="001E4BEF"/>
    <w:rsid w:val="001E4FA9"/>
    <w:rsid w:val="001E687E"/>
    <w:rsid w:val="001F014D"/>
    <w:rsid w:val="001F240F"/>
    <w:rsid w:val="001F329C"/>
    <w:rsid w:val="001F5498"/>
    <w:rsid w:val="001F603C"/>
    <w:rsid w:val="001F7A70"/>
    <w:rsid w:val="00200B9C"/>
    <w:rsid w:val="00202DCC"/>
    <w:rsid w:val="00203540"/>
    <w:rsid w:val="00204653"/>
    <w:rsid w:val="0020780C"/>
    <w:rsid w:val="00207E66"/>
    <w:rsid w:val="00211AFD"/>
    <w:rsid w:val="002129AE"/>
    <w:rsid w:val="002131B4"/>
    <w:rsid w:val="0021320A"/>
    <w:rsid w:val="002140A0"/>
    <w:rsid w:val="002146CA"/>
    <w:rsid w:val="0021612B"/>
    <w:rsid w:val="002207AD"/>
    <w:rsid w:val="0022083A"/>
    <w:rsid w:val="002209A2"/>
    <w:rsid w:val="00221539"/>
    <w:rsid w:val="00221D07"/>
    <w:rsid w:val="002226D2"/>
    <w:rsid w:val="00222A57"/>
    <w:rsid w:val="00222B14"/>
    <w:rsid w:val="0022448C"/>
    <w:rsid w:val="00225A8A"/>
    <w:rsid w:val="002267D7"/>
    <w:rsid w:val="00226EA9"/>
    <w:rsid w:val="0022753D"/>
    <w:rsid w:val="00227E4A"/>
    <w:rsid w:val="00230FFB"/>
    <w:rsid w:val="00231ACB"/>
    <w:rsid w:val="002336AC"/>
    <w:rsid w:val="002374BD"/>
    <w:rsid w:val="00241BC5"/>
    <w:rsid w:val="00242280"/>
    <w:rsid w:val="00243CE6"/>
    <w:rsid w:val="0024582E"/>
    <w:rsid w:val="00245C56"/>
    <w:rsid w:val="00247996"/>
    <w:rsid w:val="00251931"/>
    <w:rsid w:val="00252076"/>
    <w:rsid w:val="002532D3"/>
    <w:rsid w:val="00253F5A"/>
    <w:rsid w:val="002547EF"/>
    <w:rsid w:val="00255951"/>
    <w:rsid w:val="00255AD3"/>
    <w:rsid w:val="00256D65"/>
    <w:rsid w:val="00261601"/>
    <w:rsid w:val="002645CC"/>
    <w:rsid w:val="002654C4"/>
    <w:rsid w:val="00271F00"/>
    <w:rsid w:val="00272ED9"/>
    <w:rsid w:val="00273159"/>
    <w:rsid w:val="00273A80"/>
    <w:rsid w:val="00274111"/>
    <w:rsid w:val="00274668"/>
    <w:rsid w:val="00275FF7"/>
    <w:rsid w:val="00277D9C"/>
    <w:rsid w:val="002822CD"/>
    <w:rsid w:val="00285438"/>
    <w:rsid w:val="002871D2"/>
    <w:rsid w:val="00290F07"/>
    <w:rsid w:val="0029204E"/>
    <w:rsid w:val="00293814"/>
    <w:rsid w:val="00294C99"/>
    <w:rsid w:val="0029618F"/>
    <w:rsid w:val="0029631C"/>
    <w:rsid w:val="00297FF5"/>
    <w:rsid w:val="002A0194"/>
    <w:rsid w:val="002A14FE"/>
    <w:rsid w:val="002A25B1"/>
    <w:rsid w:val="002A2AE2"/>
    <w:rsid w:val="002A2FD7"/>
    <w:rsid w:val="002A3314"/>
    <w:rsid w:val="002A4B19"/>
    <w:rsid w:val="002A557C"/>
    <w:rsid w:val="002A5F8B"/>
    <w:rsid w:val="002A6F33"/>
    <w:rsid w:val="002A7F6C"/>
    <w:rsid w:val="002B125F"/>
    <w:rsid w:val="002B2F75"/>
    <w:rsid w:val="002B422F"/>
    <w:rsid w:val="002B5925"/>
    <w:rsid w:val="002B5EA3"/>
    <w:rsid w:val="002B76E2"/>
    <w:rsid w:val="002C003B"/>
    <w:rsid w:val="002C0AE2"/>
    <w:rsid w:val="002C0CDE"/>
    <w:rsid w:val="002C1015"/>
    <w:rsid w:val="002C2BF6"/>
    <w:rsid w:val="002C7201"/>
    <w:rsid w:val="002D2DDE"/>
    <w:rsid w:val="002D6809"/>
    <w:rsid w:val="002E2C40"/>
    <w:rsid w:val="002E567B"/>
    <w:rsid w:val="002E571A"/>
    <w:rsid w:val="002E6172"/>
    <w:rsid w:val="002E6E03"/>
    <w:rsid w:val="002F0B8E"/>
    <w:rsid w:val="002F0EA1"/>
    <w:rsid w:val="002F4ED4"/>
    <w:rsid w:val="002F4F94"/>
    <w:rsid w:val="002F6488"/>
    <w:rsid w:val="002F699A"/>
    <w:rsid w:val="002F7AC1"/>
    <w:rsid w:val="00300035"/>
    <w:rsid w:val="003017DA"/>
    <w:rsid w:val="003025CC"/>
    <w:rsid w:val="00303754"/>
    <w:rsid w:val="003054C0"/>
    <w:rsid w:val="0030558D"/>
    <w:rsid w:val="0030640F"/>
    <w:rsid w:val="00313704"/>
    <w:rsid w:val="00313A73"/>
    <w:rsid w:val="00314091"/>
    <w:rsid w:val="00320839"/>
    <w:rsid w:val="003213F9"/>
    <w:rsid w:val="00323DBF"/>
    <w:rsid w:val="00324B88"/>
    <w:rsid w:val="0032622A"/>
    <w:rsid w:val="00326D85"/>
    <w:rsid w:val="00327C31"/>
    <w:rsid w:val="00327DDC"/>
    <w:rsid w:val="0033043A"/>
    <w:rsid w:val="003308BE"/>
    <w:rsid w:val="003309A8"/>
    <w:rsid w:val="00332B12"/>
    <w:rsid w:val="00337152"/>
    <w:rsid w:val="003412C5"/>
    <w:rsid w:val="003428B4"/>
    <w:rsid w:val="00342D0F"/>
    <w:rsid w:val="00344D71"/>
    <w:rsid w:val="00351B07"/>
    <w:rsid w:val="00352CF2"/>
    <w:rsid w:val="0035372A"/>
    <w:rsid w:val="00355BE6"/>
    <w:rsid w:val="00355F30"/>
    <w:rsid w:val="00360586"/>
    <w:rsid w:val="00361FD5"/>
    <w:rsid w:val="00362E06"/>
    <w:rsid w:val="00364572"/>
    <w:rsid w:val="00364841"/>
    <w:rsid w:val="00365319"/>
    <w:rsid w:val="00365425"/>
    <w:rsid w:val="00366384"/>
    <w:rsid w:val="00366526"/>
    <w:rsid w:val="00366C1C"/>
    <w:rsid w:val="00366CBD"/>
    <w:rsid w:val="00370C2E"/>
    <w:rsid w:val="00370F5C"/>
    <w:rsid w:val="00371B29"/>
    <w:rsid w:val="00372044"/>
    <w:rsid w:val="0037281B"/>
    <w:rsid w:val="0037338E"/>
    <w:rsid w:val="003745EE"/>
    <w:rsid w:val="00374B67"/>
    <w:rsid w:val="003757E5"/>
    <w:rsid w:val="0037656B"/>
    <w:rsid w:val="003802CF"/>
    <w:rsid w:val="003808B1"/>
    <w:rsid w:val="00382887"/>
    <w:rsid w:val="00390C4A"/>
    <w:rsid w:val="00391769"/>
    <w:rsid w:val="00394414"/>
    <w:rsid w:val="003949A6"/>
    <w:rsid w:val="003953E1"/>
    <w:rsid w:val="003956B3"/>
    <w:rsid w:val="00396086"/>
    <w:rsid w:val="003A2BC0"/>
    <w:rsid w:val="003A46D4"/>
    <w:rsid w:val="003A619C"/>
    <w:rsid w:val="003A63C7"/>
    <w:rsid w:val="003A68BE"/>
    <w:rsid w:val="003B16E5"/>
    <w:rsid w:val="003B1751"/>
    <w:rsid w:val="003B1805"/>
    <w:rsid w:val="003B1B86"/>
    <w:rsid w:val="003B1D81"/>
    <w:rsid w:val="003B244E"/>
    <w:rsid w:val="003B3251"/>
    <w:rsid w:val="003B3C9D"/>
    <w:rsid w:val="003B74A3"/>
    <w:rsid w:val="003B78E0"/>
    <w:rsid w:val="003C0779"/>
    <w:rsid w:val="003C1A00"/>
    <w:rsid w:val="003C1C9F"/>
    <w:rsid w:val="003C1D8A"/>
    <w:rsid w:val="003C1EEC"/>
    <w:rsid w:val="003C4969"/>
    <w:rsid w:val="003C6FC9"/>
    <w:rsid w:val="003D0FB6"/>
    <w:rsid w:val="003D274C"/>
    <w:rsid w:val="003E09A0"/>
    <w:rsid w:val="003E2372"/>
    <w:rsid w:val="003E41D5"/>
    <w:rsid w:val="003E4348"/>
    <w:rsid w:val="003E46BA"/>
    <w:rsid w:val="003E4F6F"/>
    <w:rsid w:val="003E68C8"/>
    <w:rsid w:val="003E723E"/>
    <w:rsid w:val="003E7D22"/>
    <w:rsid w:val="003F03CB"/>
    <w:rsid w:val="003F2C90"/>
    <w:rsid w:val="003F43B6"/>
    <w:rsid w:val="003F50C5"/>
    <w:rsid w:val="003F61C8"/>
    <w:rsid w:val="003F6FBC"/>
    <w:rsid w:val="003F74C1"/>
    <w:rsid w:val="00400149"/>
    <w:rsid w:val="0040210E"/>
    <w:rsid w:val="00402259"/>
    <w:rsid w:val="00403F42"/>
    <w:rsid w:val="00405B1A"/>
    <w:rsid w:val="00406464"/>
    <w:rsid w:val="0040647F"/>
    <w:rsid w:val="00407479"/>
    <w:rsid w:val="00410C76"/>
    <w:rsid w:val="0041147F"/>
    <w:rsid w:val="004114FA"/>
    <w:rsid w:val="00411907"/>
    <w:rsid w:val="00412779"/>
    <w:rsid w:val="00413270"/>
    <w:rsid w:val="00413CA8"/>
    <w:rsid w:val="004147ED"/>
    <w:rsid w:val="004166A4"/>
    <w:rsid w:val="00417249"/>
    <w:rsid w:val="00417EE3"/>
    <w:rsid w:val="004207EB"/>
    <w:rsid w:val="00425105"/>
    <w:rsid w:val="00427B39"/>
    <w:rsid w:val="00427BD3"/>
    <w:rsid w:val="00430070"/>
    <w:rsid w:val="0043041F"/>
    <w:rsid w:val="00430894"/>
    <w:rsid w:val="0043297C"/>
    <w:rsid w:val="004330C4"/>
    <w:rsid w:val="00435876"/>
    <w:rsid w:val="004358EE"/>
    <w:rsid w:val="00437276"/>
    <w:rsid w:val="00437654"/>
    <w:rsid w:val="004409E6"/>
    <w:rsid w:val="0044147E"/>
    <w:rsid w:val="00442185"/>
    <w:rsid w:val="0044388D"/>
    <w:rsid w:val="00444331"/>
    <w:rsid w:val="00446961"/>
    <w:rsid w:val="00452645"/>
    <w:rsid w:val="00456B54"/>
    <w:rsid w:val="00463D0F"/>
    <w:rsid w:val="00464349"/>
    <w:rsid w:val="004644D8"/>
    <w:rsid w:val="00464643"/>
    <w:rsid w:val="004664F1"/>
    <w:rsid w:val="00466A59"/>
    <w:rsid w:val="0047034F"/>
    <w:rsid w:val="004703E3"/>
    <w:rsid w:val="00471AC5"/>
    <w:rsid w:val="00475FFC"/>
    <w:rsid w:val="0048325A"/>
    <w:rsid w:val="004848E0"/>
    <w:rsid w:val="004852FC"/>
    <w:rsid w:val="00485BD2"/>
    <w:rsid w:val="00486160"/>
    <w:rsid w:val="00486793"/>
    <w:rsid w:val="004871E2"/>
    <w:rsid w:val="0048779D"/>
    <w:rsid w:val="00487CDF"/>
    <w:rsid w:val="00491FC2"/>
    <w:rsid w:val="00492042"/>
    <w:rsid w:val="0049288C"/>
    <w:rsid w:val="00493DAE"/>
    <w:rsid w:val="00494D6B"/>
    <w:rsid w:val="00495EBF"/>
    <w:rsid w:val="00496BB6"/>
    <w:rsid w:val="00497646"/>
    <w:rsid w:val="00497744"/>
    <w:rsid w:val="004A01B1"/>
    <w:rsid w:val="004A12B0"/>
    <w:rsid w:val="004A1D8F"/>
    <w:rsid w:val="004A2037"/>
    <w:rsid w:val="004A49E3"/>
    <w:rsid w:val="004A6AF6"/>
    <w:rsid w:val="004B2760"/>
    <w:rsid w:val="004B5377"/>
    <w:rsid w:val="004B6BA0"/>
    <w:rsid w:val="004B7295"/>
    <w:rsid w:val="004B77E7"/>
    <w:rsid w:val="004B78E1"/>
    <w:rsid w:val="004B79FB"/>
    <w:rsid w:val="004C05B8"/>
    <w:rsid w:val="004C1E04"/>
    <w:rsid w:val="004C2CE7"/>
    <w:rsid w:val="004C3864"/>
    <w:rsid w:val="004C3E76"/>
    <w:rsid w:val="004C5329"/>
    <w:rsid w:val="004C7C83"/>
    <w:rsid w:val="004D321B"/>
    <w:rsid w:val="004D3E07"/>
    <w:rsid w:val="004D43EB"/>
    <w:rsid w:val="004D5AD4"/>
    <w:rsid w:val="004E20B0"/>
    <w:rsid w:val="004E26CE"/>
    <w:rsid w:val="004E6251"/>
    <w:rsid w:val="004E6ACF"/>
    <w:rsid w:val="004E6EF9"/>
    <w:rsid w:val="004F243B"/>
    <w:rsid w:val="004F2E23"/>
    <w:rsid w:val="004F4F98"/>
    <w:rsid w:val="004F69F6"/>
    <w:rsid w:val="004F79AC"/>
    <w:rsid w:val="005017CF"/>
    <w:rsid w:val="00503852"/>
    <w:rsid w:val="00505371"/>
    <w:rsid w:val="00507781"/>
    <w:rsid w:val="00512ECB"/>
    <w:rsid w:val="00513355"/>
    <w:rsid w:val="00513A77"/>
    <w:rsid w:val="00516DD4"/>
    <w:rsid w:val="005207D8"/>
    <w:rsid w:val="00524904"/>
    <w:rsid w:val="005254CD"/>
    <w:rsid w:val="00527492"/>
    <w:rsid w:val="00530971"/>
    <w:rsid w:val="005313A4"/>
    <w:rsid w:val="005333AF"/>
    <w:rsid w:val="00533FBA"/>
    <w:rsid w:val="0053464E"/>
    <w:rsid w:val="00535907"/>
    <w:rsid w:val="00535AAF"/>
    <w:rsid w:val="00536C48"/>
    <w:rsid w:val="0054272D"/>
    <w:rsid w:val="005429C1"/>
    <w:rsid w:val="005434E8"/>
    <w:rsid w:val="00545156"/>
    <w:rsid w:val="005451E8"/>
    <w:rsid w:val="005507AA"/>
    <w:rsid w:val="0055103F"/>
    <w:rsid w:val="005522EA"/>
    <w:rsid w:val="0055242D"/>
    <w:rsid w:val="00554B0E"/>
    <w:rsid w:val="00554FA4"/>
    <w:rsid w:val="00555809"/>
    <w:rsid w:val="005607DB"/>
    <w:rsid w:val="0056086D"/>
    <w:rsid w:val="005609C7"/>
    <w:rsid w:val="005623ED"/>
    <w:rsid w:val="00562917"/>
    <w:rsid w:val="005660FC"/>
    <w:rsid w:val="0056796A"/>
    <w:rsid w:val="00567CD1"/>
    <w:rsid w:val="00570ECE"/>
    <w:rsid w:val="0057521E"/>
    <w:rsid w:val="005755CB"/>
    <w:rsid w:val="005757B6"/>
    <w:rsid w:val="0057615C"/>
    <w:rsid w:val="00580FF2"/>
    <w:rsid w:val="00581BB4"/>
    <w:rsid w:val="0058213E"/>
    <w:rsid w:val="00586228"/>
    <w:rsid w:val="00586F49"/>
    <w:rsid w:val="005917BB"/>
    <w:rsid w:val="005979BB"/>
    <w:rsid w:val="00597D54"/>
    <w:rsid w:val="005A12F5"/>
    <w:rsid w:val="005A1D97"/>
    <w:rsid w:val="005A24D2"/>
    <w:rsid w:val="005A58F3"/>
    <w:rsid w:val="005A61A9"/>
    <w:rsid w:val="005A64D8"/>
    <w:rsid w:val="005B10B9"/>
    <w:rsid w:val="005B129B"/>
    <w:rsid w:val="005B214F"/>
    <w:rsid w:val="005B42F3"/>
    <w:rsid w:val="005B4F2B"/>
    <w:rsid w:val="005B5F88"/>
    <w:rsid w:val="005B6AF4"/>
    <w:rsid w:val="005B6CAD"/>
    <w:rsid w:val="005B74BE"/>
    <w:rsid w:val="005B7A73"/>
    <w:rsid w:val="005C04CB"/>
    <w:rsid w:val="005C1B2A"/>
    <w:rsid w:val="005C1EDA"/>
    <w:rsid w:val="005C387D"/>
    <w:rsid w:val="005C6337"/>
    <w:rsid w:val="005C65A4"/>
    <w:rsid w:val="005C6840"/>
    <w:rsid w:val="005C6C46"/>
    <w:rsid w:val="005D0252"/>
    <w:rsid w:val="005D14E0"/>
    <w:rsid w:val="005D16AD"/>
    <w:rsid w:val="005D1A97"/>
    <w:rsid w:val="005D423F"/>
    <w:rsid w:val="005D464B"/>
    <w:rsid w:val="005D4856"/>
    <w:rsid w:val="005D4875"/>
    <w:rsid w:val="005D5203"/>
    <w:rsid w:val="005D5A6F"/>
    <w:rsid w:val="005D70BD"/>
    <w:rsid w:val="005D72E1"/>
    <w:rsid w:val="005E01E8"/>
    <w:rsid w:val="005E02B6"/>
    <w:rsid w:val="005E1E4F"/>
    <w:rsid w:val="005E24C1"/>
    <w:rsid w:val="005E6209"/>
    <w:rsid w:val="005E6E16"/>
    <w:rsid w:val="005E7674"/>
    <w:rsid w:val="005F400E"/>
    <w:rsid w:val="005F4DF0"/>
    <w:rsid w:val="005F52C0"/>
    <w:rsid w:val="005F5621"/>
    <w:rsid w:val="005F7342"/>
    <w:rsid w:val="0060105E"/>
    <w:rsid w:val="00601AE3"/>
    <w:rsid w:val="0060234B"/>
    <w:rsid w:val="00603A08"/>
    <w:rsid w:val="006049A2"/>
    <w:rsid w:val="00610A3C"/>
    <w:rsid w:val="006114C1"/>
    <w:rsid w:val="006115BC"/>
    <w:rsid w:val="006116AF"/>
    <w:rsid w:val="00613671"/>
    <w:rsid w:val="006136FC"/>
    <w:rsid w:val="006155A2"/>
    <w:rsid w:val="0061600A"/>
    <w:rsid w:val="00616397"/>
    <w:rsid w:val="00617126"/>
    <w:rsid w:val="00617B7C"/>
    <w:rsid w:val="00624BD4"/>
    <w:rsid w:val="006258F3"/>
    <w:rsid w:val="00626433"/>
    <w:rsid w:val="0062653D"/>
    <w:rsid w:val="00627F48"/>
    <w:rsid w:val="00630585"/>
    <w:rsid w:val="00630753"/>
    <w:rsid w:val="00630C23"/>
    <w:rsid w:val="00632764"/>
    <w:rsid w:val="006334EC"/>
    <w:rsid w:val="00634625"/>
    <w:rsid w:val="0064032C"/>
    <w:rsid w:val="006427DC"/>
    <w:rsid w:val="00642885"/>
    <w:rsid w:val="00643958"/>
    <w:rsid w:val="006440BC"/>
    <w:rsid w:val="00645E9C"/>
    <w:rsid w:val="006460AB"/>
    <w:rsid w:val="00647987"/>
    <w:rsid w:val="00650E3E"/>
    <w:rsid w:val="0065122E"/>
    <w:rsid w:val="0065161E"/>
    <w:rsid w:val="0065542B"/>
    <w:rsid w:val="00656432"/>
    <w:rsid w:val="00657E9F"/>
    <w:rsid w:val="0066178F"/>
    <w:rsid w:val="00662FC6"/>
    <w:rsid w:val="00663168"/>
    <w:rsid w:val="00663FCF"/>
    <w:rsid w:val="00664863"/>
    <w:rsid w:val="006651F5"/>
    <w:rsid w:val="006652A2"/>
    <w:rsid w:val="00670C75"/>
    <w:rsid w:val="0067381C"/>
    <w:rsid w:val="00673AB0"/>
    <w:rsid w:val="00673C02"/>
    <w:rsid w:val="00674253"/>
    <w:rsid w:val="00674E3B"/>
    <w:rsid w:val="006760A5"/>
    <w:rsid w:val="006766D7"/>
    <w:rsid w:val="0068006F"/>
    <w:rsid w:val="006824D1"/>
    <w:rsid w:val="006873DC"/>
    <w:rsid w:val="00690206"/>
    <w:rsid w:val="006937FF"/>
    <w:rsid w:val="00694465"/>
    <w:rsid w:val="00695638"/>
    <w:rsid w:val="006964B8"/>
    <w:rsid w:val="00696AAE"/>
    <w:rsid w:val="00697C0C"/>
    <w:rsid w:val="006A13A9"/>
    <w:rsid w:val="006A1499"/>
    <w:rsid w:val="006A22A4"/>
    <w:rsid w:val="006A48A7"/>
    <w:rsid w:val="006A4901"/>
    <w:rsid w:val="006A7495"/>
    <w:rsid w:val="006B0E46"/>
    <w:rsid w:val="006B1336"/>
    <w:rsid w:val="006B18A1"/>
    <w:rsid w:val="006B19FD"/>
    <w:rsid w:val="006B428B"/>
    <w:rsid w:val="006B4BA1"/>
    <w:rsid w:val="006B53DF"/>
    <w:rsid w:val="006B5EBE"/>
    <w:rsid w:val="006B68D4"/>
    <w:rsid w:val="006B6E33"/>
    <w:rsid w:val="006B7EDC"/>
    <w:rsid w:val="006C0D88"/>
    <w:rsid w:val="006C1E96"/>
    <w:rsid w:val="006C3EE2"/>
    <w:rsid w:val="006C5314"/>
    <w:rsid w:val="006C5CF5"/>
    <w:rsid w:val="006C7331"/>
    <w:rsid w:val="006D2F2B"/>
    <w:rsid w:val="006D397D"/>
    <w:rsid w:val="006D5E5B"/>
    <w:rsid w:val="006E0260"/>
    <w:rsid w:val="006E1674"/>
    <w:rsid w:val="006E3033"/>
    <w:rsid w:val="006E36B5"/>
    <w:rsid w:val="006E3A64"/>
    <w:rsid w:val="006E5AD5"/>
    <w:rsid w:val="006E6A41"/>
    <w:rsid w:val="006F0637"/>
    <w:rsid w:val="006F12E0"/>
    <w:rsid w:val="006F33E9"/>
    <w:rsid w:val="006F4A82"/>
    <w:rsid w:val="006F7283"/>
    <w:rsid w:val="006F72EA"/>
    <w:rsid w:val="006F7FFB"/>
    <w:rsid w:val="00700220"/>
    <w:rsid w:val="007033F3"/>
    <w:rsid w:val="0070373B"/>
    <w:rsid w:val="00706709"/>
    <w:rsid w:val="00711161"/>
    <w:rsid w:val="00712850"/>
    <w:rsid w:val="00712FDF"/>
    <w:rsid w:val="00713241"/>
    <w:rsid w:val="00717B84"/>
    <w:rsid w:val="00720456"/>
    <w:rsid w:val="00721E44"/>
    <w:rsid w:val="00724FA4"/>
    <w:rsid w:val="00725E03"/>
    <w:rsid w:val="00730800"/>
    <w:rsid w:val="007312F4"/>
    <w:rsid w:val="0073470A"/>
    <w:rsid w:val="00734A64"/>
    <w:rsid w:val="00735F23"/>
    <w:rsid w:val="007366C2"/>
    <w:rsid w:val="0073697C"/>
    <w:rsid w:val="007440BB"/>
    <w:rsid w:val="00746511"/>
    <w:rsid w:val="0074765D"/>
    <w:rsid w:val="00751CA2"/>
    <w:rsid w:val="007521F6"/>
    <w:rsid w:val="007550FD"/>
    <w:rsid w:val="00757641"/>
    <w:rsid w:val="007602AA"/>
    <w:rsid w:val="00760E52"/>
    <w:rsid w:val="00762F3A"/>
    <w:rsid w:val="00762FB5"/>
    <w:rsid w:val="00764CBB"/>
    <w:rsid w:val="007652EF"/>
    <w:rsid w:val="00765C8E"/>
    <w:rsid w:val="00767EE7"/>
    <w:rsid w:val="00771A51"/>
    <w:rsid w:val="00772BDC"/>
    <w:rsid w:val="00773FFC"/>
    <w:rsid w:val="007754F9"/>
    <w:rsid w:val="0077573B"/>
    <w:rsid w:val="00775EFF"/>
    <w:rsid w:val="0077635A"/>
    <w:rsid w:val="0078012E"/>
    <w:rsid w:val="00780792"/>
    <w:rsid w:val="00782252"/>
    <w:rsid w:val="007823E9"/>
    <w:rsid w:val="0079161C"/>
    <w:rsid w:val="00792FF9"/>
    <w:rsid w:val="00793E79"/>
    <w:rsid w:val="0079549B"/>
    <w:rsid w:val="007957C9"/>
    <w:rsid w:val="00796562"/>
    <w:rsid w:val="0079682D"/>
    <w:rsid w:val="007A2F5A"/>
    <w:rsid w:val="007A44B4"/>
    <w:rsid w:val="007A6FCE"/>
    <w:rsid w:val="007A7D3D"/>
    <w:rsid w:val="007B225D"/>
    <w:rsid w:val="007B2F78"/>
    <w:rsid w:val="007C0B41"/>
    <w:rsid w:val="007C174F"/>
    <w:rsid w:val="007C18B0"/>
    <w:rsid w:val="007C1C64"/>
    <w:rsid w:val="007C1DD4"/>
    <w:rsid w:val="007C32A1"/>
    <w:rsid w:val="007D009F"/>
    <w:rsid w:val="007D03EA"/>
    <w:rsid w:val="007D3389"/>
    <w:rsid w:val="007D3565"/>
    <w:rsid w:val="007D76D2"/>
    <w:rsid w:val="007E1C79"/>
    <w:rsid w:val="007E48BC"/>
    <w:rsid w:val="007E79F7"/>
    <w:rsid w:val="007F04E9"/>
    <w:rsid w:val="007F0ED9"/>
    <w:rsid w:val="007F0EEF"/>
    <w:rsid w:val="007F3630"/>
    <w:rsid w:val="007F4127"/>
    <w:rsid w:val="007F4363"/>
    <w:rsid w:val="007F7406"/>
    <w:rsid w:val="007F7A2C"/>
    <w:rsid w:val="007F7C86"/>
    <w:rsid w:val="00800D64"/>
    <w:rsid w:val="00800DE1"/>
    <w:rsid w:val="008011BE"/>
    <w:rsid w:val="00801509"/>
    <w:rsid w:val="0080162C"/>
    <w:rsid w:val="008022BD"/>
    <w:rsid w:val="00802A37"/>
    <w:rsid w:val="00802E97"/>
    <w:rsid w:val="008056C6"/>
    <w:rsid w:val="00805972"/>
    <w:rsid w:val="00805A2F"/>
    <w:rsid w:val="00806462"/>
    <w:rsid w:val="00806A63"/>
    <w:rsid w:val="00807559"/>
    <w:rsid w:val="00807E99"/>
    <w:rsid w:val="008131EF"/>
    <w:rsid w:val="00814038"/>
    <w:rsid w:val="008144D9"/>
    <w:rsid w:val="0081645E"/>
    <w:rsid w:val="00816B3C"/>
    <w:rsid w:val="00816E2A"/>
    <w:rsid w:val="00822557"/>
    <w:rsid w:val="008236E2"/>
    <w:rsid w:val="00825224"/>
    <w:rsid w:val="0082670B"/>
    <w:rsid w:val="008268A0"/>
    <w:rsid w:val="00830F8E"/>
    <w:rsid w:val="008341AE"/>
    <w:rsid w:val="00835FF0"/>
    <w:rsid w:val="008417A3"/>
    <w:rsid w:val="00843E78"/>
    <w:rsid w:val="00844797"/>
    <w:rsid w:val="008450BC"/>
    <w:rsid w:val="00845F5C"/>
    <w:rsid w:val="00846A28"/>
    <w:rsid w:val="0085334B"/>
    <w:rsid w:val="00854993"/>
    <w:rsid w:val="00854FA7"/>
    <w:rsid w:val="00855015"/>
    <w:rsid w:val="00860910"/>
    <w:rsid w:val="00860BB4"/>
    <w:rsid w:val="0086137F"/>
    <w:rsid w:val="00862E71"/>
    <w:rsid w:val="0086342E"/>
    <w:rsid w:val="008674E2"/>
    <w:rsid w:val="00870214"/>
    <w:rsid w:val="00870756"/>
    <w:rsid w:val="00873157"/>
    <w:rsid w:val="008756BB"/>
    <w:rsid w:val="0087593E"/>
    <w:rsid w:val="008805C9"/>
    <w:rsid w:val="00880EDE"/>
    <w:rsid w:val="0088267E"/>
    <w:rsid w:val="00885C51"/>
    <w:rsid w:val="00885EB0"/>
    <w:rsid w:val="008864DE"/>
    <w:rsid w:val="00886FCB"/>
    <w:rsid w:val="008902A4"/>
    <w:rsid w:val="0089073C"/>
    <w:rsid w:val="00891F4B"/>
    <w:rsid w:val="0089264A"/>
    <w:rsid w:val="00896A8C"/>
    <w:rsid w:val="00896B85"/>
    <w:rsid w:val="008973B5"/>
    <w:rsid w:val="008979AB"/>
    <w:rsid w:val="00897BDF"/>
    <w:rsid w:val="008A20A9"/>
    <w:rsid w:val="008A22BE"/>
    <w:rsid w:val="008A2715"/>
    <w:rsid w:val="008A4A91"/>
    <w:rsid w:val="008A6349"/>
    <w:rsid w:val="008B4343"/>
    <w:rsid w:val="008B5217"/>
    <w:rsid w:val="008B5A7E"/>
    <w:rsid w:val="008B6C77"/>
    <w:rsid w:val="008C1762"/>
    <w:rsid w:val="008C1B36"/>
    <w:rsid w:val="008C1C64"/>
    <w:rsid w:val="008C230A"/>
    <w:rsid w:val="008C309A"/>
    <w:rsid w:val="008C431A"/>
    <w:rsid w:val="008C4933"/>
    <w:rsid w:val="008C63A9"/>
    <w:rsid w:val="008D06C6"/>
    <w:rsid w:val="008D13E7"/>
    <w:rsid w:val="008D29CA"/>
    <w:rsid w:val="008D2A8E"/>
    <w:rsid w:val="008D3F63"/>
    <w:rsid w:val="008D59BB"/>
    <w:rsid w:val="008D6AC2"/>
    <w:rsid w:val="008E0E68"/>
    <w:rsid w:val="008E3CBC"/>
    <w:rsid w:val="008E448C"/>
    <w:rsid w:val="008E5943"/>
    <w:rsid w:val="008E6250"/>
    <w:rsid w:val="008E6D5D"/>
    <w:rsid w:val="008F1D5E"/>
    <w:rsid w:val="008F2FAF"/>
    <w:rsid w:val="008F3C73"/>
    <w:rsid w:val="008F4B9C"/>
    <w:rsid w:val="008F5F20"/>
    <w:rsid w:val="00901658"/>
    <w:rsid w:val="00901CEB"/>
    <w:rsid w:val="00902075"/>
    <w:rsid w:val="00902AF6"/>
    <w:rsid w:val="0090421A"/>
    <w:rsid w:val="00904FE3"/>
    <w:rsid w:val="00906962"/>
    <w:rsid w:val="00907A3D"/>
    <w:rsid w:val="009104FE"/>
    <w:rsid w:val="0091368A"/>
    <w:rsid w:val="0091389D"/>
    <w:rsid w:val="009138FF"/>
    <w:rsid w:val="00915802"/>
    <w:rsid w:val="00916264"/>
    <w:rsid w:val="00917B23"/>
    <w:rsid w:val="00920249"/>
    <w:rsid w:val="009228A9"/>
    <w:rsid w:val="009230B7"/>
    <w:rsid w:val="00924C80"/>
    <w:rsid w:val="00926B84"/>
    <w:rsid w:val="0092769D"/>
    <w:rsid w:val="00930C90"/>
    <w:rsid w:val="009311E4"/>
    <w:rsid w:val="00932F14"/>
    <w:rsid w:val="009367B6"/>
    <w:rsid w:val="00941466"/>
    <w:rsid w:val="00941B45"/>
    <w:rsid w:val="00942323"/>
    <w:rsid w:val="0094247F"/>
    <w:rsid w:val="00942576"/>
    <w:rsid w:val="00942D60"/>
    <w:rsid w:val="009430ED"/>
    <w:rsid w:val="00946F36"/>
    <w:rsid w:val="0094781A"/>
    <w:rsid w:val="009518D2"/>
    <w:rsid w:val="00953420"/>
    <w:rsid w:val="00953F92"/>
    <w:rsid w:val="00954B8F"/>
    <w:rsid w:val="00960D91"/>
    <w:rsid w:val="00964EFE"/>
    <w:rsid w:val="0096523B"/>
    <w:rsid w:val="00966EE3"/>
    <w:rsid w:val="009720CD"/>
    <w:rsid w:val="00972D06"/>
    <w:rsid w:val="0097384E"/>
    <w:rsid w:val="00973879"/>
    <w:rsid w:val="00974162"/>
    <w:rsid w:val="00976BC5"/>
    <w:rsid w:val="00985730"/>
    <w:rsid w:val="0098595B"/>
    <w:rsid w:val="00990852"/>
    <w:rsid w:val="009908D0"/>
    <w:rsid w:val="0099173E"/>
    <w:rsid w:val="0099274D"/>
    <w:rsid w:val="00994DAE"/>
    <w:rsid w:val="00995760"/>
    <w:rsid w:val="00996949"/>
    <w:rsid w:val="0099740B"/>
    <w:rsid w:val="009A0703"/>
    <w:rsid w:val="009A2030"/>
    <w:rsid w:val="009A3031"/>
    <w:rsid w:val="009A391C"/>
    <w:rsid w:val="009A3FD4"/>
    <w:rsid w:val="009A50F2"/>
    <w:rsid w:val="009A5FB4"/>
    <w:rsid w:val="009B5110"/>
    <w:rsid w:val="009B5199"/>
    <w:rsid w:val="009B6095"/>
    <w:rsid w:val="009C026C"/>
    <w:rsid w:val="009C0358"/>
    <w:rsid w:val="009C4D06"/>
    <w:rsid w:val="009C52CC"/>
    <w:rsid w:val="009D1867"/>
    <w:rsid w:val="009D3F7E"/>
    <w:rsid w:val="009D54D7"/>
    <w:rsid w:val="009D5627"/>
    <w:rsid w:val="009D5FE9"/>
    <w:rsid w:val="009E0A61"/>
    <w:rsid w:val="009E3010"/>
    <w:rsid w:val="009E4FF4"/>
    <w:rsid w:val="009E62CB"/>
    <w:rsid w:val="009E7B10"/>
    <w:rsid w:val="009E7D51"/>
    <w:rsid w:val="009F007E"/>
    <w:rsid w:val="009F50DF"/>
    <w:rsid w:val="009F7065"/>
    <w:rsid w:val="00A01BC1"/>
    <w:rsid w:val="00A030E1"/>
    <w:rsid w:val="00A033BA"/>
    <w:rsid w:val="00A04358"/>
    <w:rsid w:val="00A04CDA"/>
    <w:rsid w:val="00A05C8C"/>
    <w:rsid w:val="00A05D74"/>
    <w:rsid w:val="00A05DF6"/>
    <w:rsid w:val="00A0644B"/>
    <w:rsid w:val="00A06B0A"/>
    <w:rsid w:val="00A1062F"/>
    <w:rsid w:val="00A10E58"/>
    <w:rsid w:val="00A1224F"/>
    <w:rsid w:val="00A147A0"/>
    <w:rsid w:val="00A1589A"/>
    <w:rsid w:val="00A159C8"/>
    <w:rsid w:val="00A16CDC"/>
    <w:rsid w:val="00A16DB1"/>
    <w:rsid w:val="00A214D9"/>
    <w:rsid w:val="00A23208"/>
    <w:rsid w:val="00A24676"/>
    <w:rsid w:val="00A24C19"/>
    <w:rsid w:val="00A25AF3"/>
    <w:rsid w:val="00A25B17"/>
    <w:rsid w:val="00A25E6B"/>
    <w:rsid w:val="00A30171"/>
    <w:rsid w:val="00A30923"/>
    <w:rsid w:val="00A30E05"/>
    <w:rsid w:val="00A31004"/>
    <w:rsid w:val="00A323C4"/>
    <w:rsid w:val="00A330DC"/>
    <w:rsid w:val="00A3379F"/>
    <w:rsid w:val="00A33B44"/>
    <w:rsid w:val="00A367AB"/>
    <w:rsid w:val="00A37B16"/>
    <w:rsid w:val="00A40493"/>
    <w:rsid w:val="00A40CD6"/>
    <w:rsid w:val="00A41289"/>
    <w:rsid w:val="00A4151C"/>
    <w:rsid w:val="00A4175D"/>
    <w:rsid w:val="00A43C5C"/>
    <w:rsid w:val="00A467F6"/>
    <w:rsid w:val="00A52464"/>
    <w:rsid w:val="00A5325B"/>
    <w:rsid w:val="00A53C58"/>
    <w:rsid w:val="00A54888"/>
    <w:rsid w:val="00A55580"/>
    <w:rsid w:val="00A55ACB"/>
    <w:rsid w:val="00A55B0C"/>
    <w:rsid w:val="00A55F10"/>
    <w:rsid w:val="00A56DC7"/>
    <w:rsid w:val="00A63BB8"/>
    <w:rsid w:val="00A66D83"/>
    <w:rsid w:val="00A70A8D"/>
    <w:rsid w:val="00A71070"/>
    <w:rsid w:val="00A7198F"/>
    <w:rsid w:val="00A72C64"/>
    <w:rsid w:val="00A74FD1"/>
    <w:rsid w:val="00A77817"/>
    <w:rsid w:val="00A77BFA"/>
    <w:rsid w:val="00A80000"/>
    <w:rsid w:val="00A8165F"/>
    <w:rsid w:val="00A81F88"/>
    <w:rsid w:val="00A82CA1"/>
    <w:rsid w:val="00A82F9B"/>
    <w:rsid w:val="00A8370E"/>
    <w:rsid w:val="00A84428"/>
    <w:rsid w:val="00A84929"/>
    <w:rsid w:val="00A84A39"/>
    <w:rsid w:val="00A84A58"/>
    <w:rsid w:val="00A8709E"/>
    <w:rsid w:val="00A9033B"/>
    <w:rsid w:val="00A907A5"/>
    <w:rsid w:val="00A9181B"/>
    <w:rsid w:val="00A91ED9"/>
    <w:rsid w:val="00A922C7"/>
    <w:rsid w:val="00A924C6"/>
    <w:rsid w:val="00A924C8"/>
    <w:rsid w:val="00A93FBF"/>
    <w:rsid w:val="00A94CC0"/>
    <w:rsid w:val="00A967EA"/>
    <w:rsid w:val="00A97B59"/>
    <w:rsid w:val="00AA0CF8"/>
    <w:rsid w:val="00AA0E91"/>
    <w:rsid w:val="00AA2317"/>
    <w:rsid w:val="00AA39EA"/>
    <w:rsid w:val="00AA3FDB"/>
    <w:rsid w:val="00AA4AD4"/>
    <w:rsid w:val="00AA63F8"/>
    <w:rsid w:val="00AA7709"/>
    <w:rsid w:val="00AB22C8"/>
    <w:rsid w:val="00AB360E"/>
    <w:rsid w:val="00AB5278"/>
    <w:rsid w:val="00AC1200"/>
    <w:rsid w:val="00AC1939"/>
    <w:rsid w:val="00AC2BEA"/>
    <w:rsid w:val="00AC4647"/>
    <w:rsid w:val="00AC4713"/>
    <w:rsid w:val="00AC63BA"/>
    <w:rsid w:val="00AD2312"/>
    <w:rsid w:val="00AD5C0B"/>
    <w:rsid w:val="00AD6169"/>
    <w:rsid w:val="00AE21D8"/>
    <w:rsid w:val="00AE26D0"/>
    <w:rsid w:val="00AE42C0"/>
    <w:rsid w:val="00AE78AE"/>
    <w:rsid w:val="00AF0621"/>
    <w:rsid w:val="00AF06FC"/>
    <w:rsid w:val="00AF0AD7"/>
    <w:rsid w:val="00AF2D59"/>
    <w:rsid w:val="00AF3171"/>
    <w:rsid w:val="00AF3391"/>
    <w:rsid w:val="00AF3715"/>
    <w:rsid w:val="00AF387F"/>
    <w:rsid w:val="00AF3E04"/>
    <w:rsid w:val="00AF47AA"/>
    <w:rsid w:val="00AF64E0"/>
    <w:rsid w:val="00B00E7F"/>
    <w:rsid w:val="00B011EE"/>
    <w:rsid w:val="00B02760"/>
    <w:rsid w:val="00B03BC6"/>
    <w:rsid w:val="00B04C80"/>
    <w:rsid w:val="00B04E9D"/>
    <w:rsid w:val="00B059C7"/>
    <w:rsid w:val="00B07CFC"/>
    <w:rsid w:val="00B07D5A"/>
    <w:rsid w:val="00B10954"/>
    <w:rsid w:val="00B1119A"/>
    <w:rsid w:val="00B117C1"/>
    <w:rsid w:val="00B119C2"/>
    <w:rsid w:val="00B128E2"/>
    <w:rsid w:val="00B12F1E"/>
    <w:rsid w:val="00B1505B"/>
    <w:rsid w:val="00B1577F"/>
    <w:rsid w:val="00B158B7"/>
    <w:rsid w:val="00B15BDC"/>
    <w:rsid w:val="00B16A3A"/>
    <w:rsid w:val="00B17023"/>
    <w:rsid w:val="00B173DA"/>
    <w:rsid w:val="00B20A6D"/>
    <w:rsid w:val="00B215C8"/>
    <w:rsid w:val="00B21DCC"/>
    <w:rsid w:val="00B2264E"/>
    <w:rsid w:val="00B226EB"/>
    <w:rsid w:val="00B22C7E"/>
    <w:rsid w:val="00B2452D"/>
    <w:rsid w:val="00B24C51"/>
    <w:rsid w:val="00B254EA"/>
    <w:rsid w:val="00B25BD6"/>
    <w:rsid w:val="00B25F37"/>
    <w:rsid w:val="00B26356"/>
    <w:rsid w:val="00B26B9A"/>
    <w:rsid w:val="00B3036B"/>
    <w:rsid w:val="00B303D9"/>
    <w:rsid w:val="00B3068D"/>
    <w:rsid w:val="00B30C4D"/>
    <w:rsid w:val="00B314FE"/>
    <w:rsid w:val="00B34AB4"/>
    <w:rsid w:val="00B37BF0"/>
    <w:rsid w:val="00B41BDA"/>
    <w:rsid w:val="00B44422"/>
    <w:rsid w:val="00B45BFA"/>
    <w:rsid w:val="00B46834"/>
    <w:rsid w:val="00B46A6E"/>
    <w:rsid w:val="00B46EA0"/>
    <w:rsid w:val="00B46F2F"/>
    <w:rsid w:val="00B510E5"/>
    <w:rsid w:val="00B52BBF"/>
    <w:rsid w:val="00B531EC"/>
    <w:rsid w:val="00B55C23"/>
    <w:rsid w:val="00B55C6D"/>
    <w:rsid w:val="00B570FA"/>
    <w:rsid w:val="00B607DD"/>
    <w:rsid w:val="00B60934"/>
    <w:rsid w:val="00B61451"/>
    <w:rsid w:val="00B61965"/>
    <w:rsid w:val="00B61C2E"/>
    <w:rsid w:val="00B62370"/>
    <w:rsid w:val="00B623FA"/>
    <w:rsid w:val="00B62954"/>
    <w:rsid w:val="00B64F52"/>
    <w:rsid w:val="00B718EE"/>
    <w:rsid w:val="00B71EDE"/>
    <w:rsid w:val="00B731D3"/>
    <w:rsid w:val="00B738F0"/>
    <w:rsid w:val="00B7512B"/>
    <w:rsid w:val="00B770E5"/>
    <w:rsid w:val="00B77C26"/>
    <w:rsid w:val="00B81D96"/>
    <w:rsid w:val="00B839A3"/>
    <w:rsid w:val="00B83CEE"/>
    <w:rsid w:val="00B84458"/>
    <w:rsid w:val="00B8572F"/>
    <w:rsid w:val="00B862F3"/>
    <w:rsid w:val="00B87734"/>
    <w:rsid w:val="00B902BD"/>
    <w:rsid w:val="00B93B5E"/>
    <w:rsid w:val="00B95976"/>
    <w:rsid w:val="00B97A83"/>
    <w:rsid w:val="00BA0C64"/>
    <w:rsid w:val="00BA24E2"/>
    <w:rsid w:val="00BA4D6B"/>
    <w:rsid w:val="00BA4E1F"/>
    <w:rsid w:val="00BA5FE9"/>
    <w:rsid w:val="00BA6047"/>
    <w:rsid w:val="00BA7333"/>
    <w:rsid w:val="00BA73A3"/>
    <w:rsid w:val="00BA7ADC"/>
    <w:rsid w:val="00BB106D"/>
    <w:rsid w:val="00BB6B4E"/>
    <w:rsid w:val="00BB70D1"/>
    <w:rsid w:val="00BC09C6"/>
    <w:rsid w:val="00BC233D"/>
    <w:rsid w:val="00BC2736"/>
    <w:rsid w:val="00BC327F"/>
    <w:rsid w:val="00BC4BDC"/>
    <w:rsid w:val="00BC629A"/>
    <w:rsid w:val="00BC667C"/>
    <w:rsid w:val="00BC687B"/>
    <w:rsid w:val="00BC6EAB"/>
    <w:rsid w:val="00BC7C75"/>
    <w:rsid w:val="00BD1B52"/>
    <w:rsid w:val="00BD2A39"/>
    <w:rsid w:val="00BD2E80"/>
    <w:rsid w:val="00BD38AA"/>
    <w:rsid w:val="00BD3DB0"/>
    <w:rsid w:val="00BD42DC"/>
    <w:rsid w:val="00BD6B17"/>
    <w:rsid w:val="00BE11B8"/>
    <w:rsid w:val="00BE14AE"/>
    <w:rsid w:val="00BE3238"/>
    <w:rsid w:val="00BE3AD0"/>
    <w:rsid w:val="00BE3EC3"/>
    <w:rsid w:val="00BE4672"/>
    <w:rsid w:val="00BF4A32"/>
    <w:rsid w:val="00BF54E9"/>
    <w:rsid w:val="00BF7FF0"/>
    <w:rsid w:val="00C0053B"/>
    <w:rsid w:val="00C00E8D"/>
    <w:rsid w:val="00C02551"/>
    <w:rsid w:val="00C02C3A"/>
    <w:rsid w:val="00C03978"/>
    <w:rsid w:val="00C04808"/>
    <w:rsid w:val="00C057F4"/>
    <w:rsid w:val="00C10B83"/>
    <w:rsid w:val="00C12502"/>
    <w:rsid w:val="00C136D6"/>
    <w:rsid w:val="00C13AD8"/>
    <w:rsid w:val="00C143C6"/>
    <w:rsid w:val="00C17BB5"/>
    <w:rsid w:val="00C23A40"/>
    <w:rsid w:val="00C23C03"/>
    <w:rsid w:val="00C2668B"/>
    <w:rsid w:val="00C31A32"/>
    <w:rsid w:val="00C3301D"/>
    <w:rsid w:val="00C33600"/>
    <w:rsid w:val="00C35100"/>
    <w:rsid w:val="00C35954"/>
    <w:rsid w:val="00C36578"/>
    <w:rsid w:val="00C371B6"/>
    <w:rsid w:val="00C404F5"/>
    <w:rsid w:val="00C40AA5"/>
    <w:rsid w:val="00C414BF"/>
    <w:rsid w:val="00C41794"/>
    <w:rsid w:val="00C43EA3"/>
    <w:rsid w:val="00C45049"/>
    <w:rsid w:val="00C456CD"/>
    <w:rsid w:val="00C4631E"/>
    <w:rsid w:val="00C46F70"/>
    <w:rsid w:val="00C472E9"/>
    <w:rsid w:val="00C47646"/>
    <w:rsid w:val="00C476D0"/>
    <w:rsid w:val="00C612E0"/>
    <w:rsid w:val="00C6187C"/>
    <w:rsid w:val="00C61AC1"/>
    <w:rsid w:val="00C62B12"/>
    <w:rsid w:val="00C67BF1"/>
    <w:rsid w:val="00C706CF"/>
    <w:rsid w:val="00C70918"/>
    <w:rsid w:val="00C70D9D"/>
    <w:rsid w:val="00C73F95"/>
    <w:rsid w:val="00C74B71"/>
    <w:rsid w:val="00C765FD"/>
    <w:rsid w:val="00C77DF1"/>
    <w:rsid w:val="00C82856"/>
    <w:rsid w:val="00C8307F"/>
    <w:rsid w:val="00C836E3"/>
    <w:rsid w:val="00C83CC5"/>
    <w:rsid w:val="00C86577"/>
    <w:rsid w:val="00C87DDD"/>
    <w:rsid w:val="00C92444"/>
    <w:rsid w:val="00C92E07"/>
    <w:rsid w:val="00C95497"/>
    <w:rsid w:val="00C96868"/>
    <w:rsid w:val="00CA0416"/>
    <w:rsid w:val="00CA0B13"/>
    <w:rsid w:val="00CA45C6"/>
    <w:rsid w:val="00CA5330"/>
    <w:rsid w:val="00CA641D"/>
    <w:rsid w:val="00CA6A0E"/>
    <w:rsid w:val="00CB0297"/>
    <w:rsid w:val="00CB126E"/>
    <w:rsid w:val="00CB2240"/>
    <w:rsid w:val="00CB4C75"/>
    <w:rsid w:val="00CB5454"/>
    <w:rsid w:val="00CB5DEC"/>
    <w:rsid w:val="00CB70E4"/>
    <w:rsid w:val="00CC188A"/>
    <w:rsid w:val="00CC1D5F"/>
    <w:rsid w:val="00CC29E8"/>
    <w:rsid w:val="00CC2A1E"/>
    <w:rsid w:val="00CC560B"/>
    <w:rsid w:val="00CC5E4D"/>
    <w:rsid w:val="00CC698B"/>
    <w:rsid w:val="00CC75E2"/>
    <w:rsid w:val="00CC7CF7"/>
    <w:rsid w:val="00CD05A4"/>
    <w:rsid w:val="00CD1A46"/>
    <w:rsid w:val="00CD1C67"/>
    <w:rsid w:val="00CD3641"/>
    <w:rsid w:val="00CD46EB"/>
    <w:rsid w:val="00CD4B47"/>
    <w:rsid w:val="00CD5458"/>
    <w:rsid w:val="00CD7BB6"/>
    <w:rsid w:val="00CD7EBF"/>
    <w:rsid w:val="00CE2BDC"/>
    <w:rsid w:val="00CE45B3"/>
    <w:rsid w:val="00CE4A5F"/>
    <w:rsid w:val="00CE4B47"/>
    <w:rsid w:val="00CE51C3"/>
    <w:rsid w:val="00CE5941"/>
    <w:rsid w:val="00CE67EF"/>
    <w:rsid w:val="00CE72CC"/>
    <w:rsid w:val="00CE7854"/>
    <w:rsid w:val="00CE7944"/>
    <w:rsid w:val="00CF0944"/>
    <w:rsid w:val="00CF2BB5"/>
    <w:rsid w:val="00CF3306"/>
    <w:rsid w:val="00CF5078"/>
    <w:rsid w:val="00D02FFE"/>
    <w:rsid w:val="00D041E9"/>
    <w:rsid w:val="00D056F1"/>
    <w:rsid w:val="00D0626F"/>
    <w:rsid w:val="00D06DD2"/>
    <w:rsid w:val="00D10853"/>
    <w:rsid w:val="00D10E75"/>
    <w:rsid w:val="00D11171"/>
    <w:rsid w:val="00D11278"/>
    <w:rsid w:val="00D143EF"/>
    <w:rsid w:val="00D22F3C"/>
    <w:rsid w:val="00D235AB"/>
    <w:rsid w:val="00D23DB6"/>
    <w:rsid w:val="00D2415C"/>
    <w:rsid w:val="00D301E6"/>
    <w:rsid w:val="00D3190D"/>
    <w:rsid w:val="00D31D62"/>
    <w:rsid w:val="00D3231F"/>
    <w:rsid w:val="00D3405A"/>
    <w:rsid w:val="00D3631C"/>
    <w:rsid w:val="00D36AFE"/>
    <w:rsid w:val="00D377B9"/>
    <w:rsid w:val="00D4231C"/>
    <w:rsid w:val="00D43FE6"/>
    <w:rsid w:val="00D4677C"/>
    <w:rsid w:val="00D51A95"/>
    <w:rsid w:val="00D5204A"/>
    <w:rsid w:val="00D52F6B"/>
    <w:rsid w:val="00D55944"/>
    <w:rsid w:val="00D57C41"/>
    <w:rsid w:val="00D60568"/>
    <w:rsid w:val="00D6124B"/>
    <w:rsid w:val="00D638F2"/>
    <w:rsid w:val="00D6445F"/>
    <w:rsid w:val="00D65878"/>
    <w:rsid w:val="00D70C7A"/>
    <w:rsid w:val="00D71A49"/>
    <w:rsid w:val="00D7223C"/>
    <w:rsid w:val="00D723B5"/>
    <w:rsid w:val="00D73AA2"/>
    <w:rsid w:val="00D76E9C"/>
    <w:rsid w:val="00D81D38"/>
    <w:rsid w:val="00D868A4"/>
    <w:rsid w:val="00D86AD0"/>
    <w:rsid w:val="00D877C1"/>
    <w:rsid w:val="00D9063C"/>
    <w:rsid w:val="00D9320C"/>
    <w:rsid w:val="00D93939"/>
    <w:rsid w:val="00D94C7A"/>
    <w:rsid w:val="00D95297"/>
    <w:rsid w:val="00D95529"/>
    <w:rsid w:val="00D9601B"/>
    <w:rsid w:val="00D9620E"/>
    <w:rsid w:val="00D96268"/>
    <w:rsid w:val="00DA10A8"/>
    <w:rsid w:val="00DA1EF1"/>
    <w:rsid w:val="00DA20AC"/>
    <w:rsid w:val="00DA3496"/>
    <w:rsid w:val="00DA55A2"/>
    <w:rsid w:val="00DA63E1"/>
    <w:rsid w:val="00DA65AA"/>
    <w:rsid w:val="00DA6FA4"/>
    <w:rsid w:val="00DABE5C"/>
    <w:rsid w:val="00DB0215"/>
    <w:rsid w:val="00DB1E08"/>
    <w:rsid w:val="00DB272D"/>
    <w:rsid w:val="00DB2973"/>
    <w:rsid w:val="00DB3B8B"/>
    <w:rsid w:val="00DB4001"/>
    <w:rsid w:val="00DB5682"/>
    <w:rsid w:val="00DB646E"/>
    <w:rsid w:val="00DB7419"/>
    <w:rsid w:val="00DC013C"/>
    <w:rsid w:val="00DC03E9"/>
    <w:rsid w:val="00DC1433"/>
    <w:rsid w:val="00DC1B56"/>
    <w:rsid w:val="00DC2129"/>
    <w:rsid w:val="00DC3D9D"/>
    <w:rsid w:val="00DC4392"/>
    <w:rsid w:val="00DC6255"/>
    <w:rsid w:val="00DC6570"/>
    <w:rsid w:val="00DC7E0C"/>
    <w:rsid w:val="00DD22C4"/>
    <w:rsid w:val="00DD255C"/>
    <w:rsid w:val="00DD3C5E"/>
    <w:rsid w:val="00DD7108"/>
    <w:rsid w:val="00DE0D3E"/>
    <w:rsid w:val="00DE1BD0"/>
    <w:rsid w:val="00DE6431"/>
    <w:rsid w:val="00DE680E"/>
    <w:rsid w:val="00DE6BD9"/>
    <w:rsid w:val="00DF04E4"/>
    <w:rsid w:val="00DF0A5E"/>
    <w:rsid w:val="00DF25C3"/>
    <w:rsid w:val="00DF3364"/>
    <w:rsid w:val="00DF41E2"/>
    <w:rsid w:val="00DF5003"/>
    <w:rsid w:val="00DF5155"/>
    <w:rsid w:val="00DF6EAF"/>
    <w:rsid w:val="00DF794F"/>
    <w:rsid w:val="00E00889"/>
    <w:rsid w:val="00E01944"/>
    <w:rsid w:val="00E04062"/>
    <w:rsid w:val="00E04756"/>
    <w:rsid w:val="00E04B78"/>
    <w:rsid w:val="00E04C30"/>
    <w:rsid w:val="00E063C6"/>
    <w:rsid w:val="00E066BA"/>
    <w:rsid w:val="00E06883"/>
    <w:rsid w:val="00E06A74"/>
    <w:rsid w:val="00E07276"/>
    <w:rsid w:val="00E10D8E"/>
    <w:rsid w:val="00E11755"/>
    <w:rsid w:val="00E13185"/>
    <w:rsid w:val="00E13FCF"/>
    <w:rsid w:val="00E16E68"/>
    <w:rsid w:val="00E2003B"/>
    <w:rsid w:val="00E200E3"/>
    <w:rsid w:val="00E203C2"/>
    <w:rsid w:val="00E204E4"/>
    <w:rsid w:val="00E2589C"/>
    <w:rsid w:val="00E26670"/>
    <w:rsid w:val="00E274EE"/>
    <w:rsid w:val="00E279D8"/>
    <w:rsid w:val="00E27F4E"/>
    <w:rsid w:val="00E3045C"/>
    <w:rsid w:val="00E30594"/>
    <w:rsid w:val="00E319B1"/>
    <w:rsid w:val="00E3292D"/>
    <w:rsid w:val="00E330C0"/>
    <w:rsid w:val="00E33BFE"/>
    <w:rsid w:val="00E34502"/>
    <w:rsid w:val="00E365C1"/>
    <w:rsid w:val="00E41B64"/>
    <w:rsid w:val="00E42EFD"/>
    <w:rsid w:val="00E4439B"/>
    <w:rsid w:val="00E44E0D"/>
    <w:rsid w:val="00E454CB"/>
    <w:rsid w:val="00E46115"/>
    <w:rsid w:val="00E461DC"/>
    <w:rsid w:val="00E50620"/>
    <w:rsid w:val="00E518CE"/>
    <w:rsid w:val="00E52E94"/>
    <w:rsid w:val="00E53519"/>
    <w:rsid w:val="00E535F6"/>
    <w:rsid w:val="00E53874"/>
    <w:rsid w:val="00E5492F"/>
    <w:rsid w:val="00E5629E"/>
    <w:rsid w:val="00E56668"/>
    <w:rsid w:val="00E62B24"/>
    <w:rsid w:val="00E62DEF"/>
    <w:rsid w:val="00E6470B"/>
    <w:rsid w:val="00E64937"/>
    <w:rsid w:val="00E65F5A"/>
    <w:rsid w:val="00E6798D"/>
    <w:rsid w:val="00E67C48"/>
    <w:rsid w:val="00E67F23"/>
    <w:rsid w:val="00E70A86"/>
    <w:rsid w:val="00E71D37"/>
    <w:rsid w:val="00E7208E"/>
    <w:rsid w:val="00E730CD"/>
    <w:rsid w:val="00E75AFC"/>
    <w:rsid w:val="00E76205"/>
    <w:rsid w:val="00E773D4"/>
    <w:rsid w:val="00E777EC"/>
    <w:rsid w:val="00E80346"/>
    <w:rsid w:val="00E80FCD"/>
    <w:rsid w:val="00E83775"/>
    <w:rsid w:val="00E86D70"/>
    <w:rsid w:val="00E90F4C"/>
    <w:rsid w:val="00E9127E"/>
    <w:rsid w:val="00E937A4"/>
    <w:rsid w:val="00E9504B"/>
    <w:rsid w:val="00E95FD6"/>
    <w:rsid w:val="00E9799A"/>
    <w:rsid w:val="00EA45CE"/>
    <w:rsid w:val="00EA4F00"/>
    <w:rsid w:val="00EA6E4B"/>
    <w:rsid w:val="00EA7056"/>
    <w:rsid w:val="00EA7F2F"/>
    <w:rsid w:val="00EB2264"/>
    <w:rsid w:val="00EB3140"/>
    <w:rsid w:val="00EB4433"/>
    <w:rsid w:val="00EB4D7C"/>
    <w:rsid w:val="00EB6FBD"/>
    <w:rsid w:val="00EC00DE"/>
    <w:rsid w:val="00EC083D"/>
    <w:rsid w:val="00EC099F"/>
    <w:rsid w:val="00EC0BA9"/>
    <w:rsid w:val="00EC2428"/>
    <w:rsid w:val="00EC30E1"/>
    <w:rsid w:val="00EC3BF6"/>
    <w:rsid w:val="00EC4A5E"/>
    <w:rsid w:val="00EC4D68"/>
    <w:rsid w:val="00EC5937"/>
    <w:rsid w:val="00EC5976"/>
    <w:rsid w:val="00EC7AB2"/>
    <w:rsid w:val="00ED14BB"/>
    <w:rsid w:val="00ED16F5"/>
    <w:rsid w:val="00ED172A"/>
    <w:rsid w:val="00ED1C25"/>
    <w:rsid w:val="00ED1E32"/>
    <w:rsid w:val="00ED1F59"/>
    <w:rsid w:val="00ED3117"/>
    <w:rsid w:val="00ED334E"/>
    <w:rsid w:val="00ED3E40"/>
    <w:rsid w:val="00ED3F22"/>
    <w:rsid w:val="00ED404C"/>
    <w:rsid w:val="00ED4C94"/>
    <w:rsid w:val="00ED58B4"/>
    <w:rsid w:val="00ED7D7B"/>
    <w:rsid w:val="00EE4669"/>
    <w:rsid w:val="00EE4F0F"/>
    <w:rsid w:val="00EE775E"/>
    <w:rsid w:val="00EE7F3C"/>
    <w:rsid w:val="00EF0AB4"/>
    <w:rsid w:val="00EF5390"/>
    <w:rsid w:val="00EF58A6"/>
    <w:rsid w:val="00EF5975"/>
    <w:rsid w:val="00EF5CF8"/>
    <w:rsid w:val="00EF6431"/>
    <w:rsid w:val="00EF6619"/>
    <w:rsid w:val="00EF6883"/>
    <w:rsid w:val="00F11F6C"/>
    <w:rsid w:val="00F135D0"/>
    <w:rsid w:val="00F13712"/>
    <w:rsid w:val="00F14BEC"/>
    <w:rsid w:val="00F15C4A"/>
    <w:rsid w:val="00F175D4"/>
    <w:rsid w:val="00F17670"/>
    <w:rsid w:val="00F211CB"/>
    <w:rsid w:val="00F21538"/>
    <w:rsid w:val="00F225C5"/>
    <w:rsid w:val="00F23187"/>
    <w:rsid w:val="00F24608"/>
    <w:rsid w:val="00F249FC"/>
    <w:rsid w:val="00F24DFA"/>
    <w:rsid w:val="00F2587A"/>
    <w:rsid w:val="00F26F0E"/>
    <w:rsid w:val="00F329B9"/>
    <w:rsid w:val="00F35CE2"/>
    <w:rsid w:val="00F3715D"/>
    <w:rsid w:val="00F37384"/>
    <w:rsid w:val="00F374D2"/>
    <w:rsid w:val="00F407E8"/>
    <w:rsid w:val="00F420C8"/>
    <w:rsid w:val="00F42A4C"/>
    <w:rsid w:val="00F45F8F"/>
    <w:rsid w:val="00F46209"/>
    <w:rsid w:val="00F46EA3"/>
    <w:rsid w:val="00F478D3"/>
    <w:rsid w:val="00F504C0"/>
    <w:rsid w:val="00F50656"/>
    <w:rsid w:val="00F507D5"/>
    <w:rsid w:val="00F55A93"/>
    <w:rsid w:val="00F55F7C"/>
    <w:rsid w:val="00F56D92"/>
    <w:rsid w:val="00F579AD"/>
    <w:rsid w:val="00F6033E"/>
    <w:rsid w:val="00F604DE"/>
    <w:rsid w:val="00F620CC"/>
    <w:rsid w:val="00F656C2"/>
    <w:rsid w:val="00F663FD"/>
    <w:rsid w:val="00F67DEE"/>
    <w:rsid w:val="00F67E45"/>
    <w:rsid w:val="00F7450F"/>
    <w:rsid w:val="00F76405"/>
    <w:rsid w:val="00F7664D"/>
    <w:rsid w:val="00F7669B"/>
    <w:rsid w:val="00F77145"/>
    <w:rsid w:val="00F81C51"/>
    <w:rsid w:val="00F828D2"/>
    <w:rsid w:val="00F8290C"/>
    <w:rsid w:val="00F84191"/>
    <w:rsid w:val="00F85615"/>
    <w:rsid w:val="00F85E65"/>
    <w:rsid w:val="00F862F7"/>
    <w:rsid w:val="00F8667B"/>
    <w:rsid w:val="00F90564"/>
    <w:rsid w:val="00F91823"/>
    <w:rsid w:val="00F91BEE"/>
    <w:rsid w:val="00F921A4"/>
    <w:rsid w:val="00F92BAB"/>
    <w:rsid w:val="00F93D9B"/>
    <w:rsid w:val="00F951A3"/>
    <w:rsid w:val="00F97ECE"/>
    <w:rsid w:val="00FA01B2"/>
    <w:rsid w:val="00FA217F"/>
    <w:rsid w:val="00FA46A4"/>
    <w:rsid w:val="00FA6B6C"/>
    <w:rsid w:val="00FB0D04"/>
    <w:rsid w:val="00FB1924"/>
    <w:rsid w:val="00FB368D"/>
    <w:rsid w:val="00FB6C39"/>
    <w:rsid w:val="00FB7512"/>
    <w:rsid w:val="00FB7F57"/>
    <w:rsid w:val="00FC00A5"/>
    <w:rsid w:val="00FC086F"/>
    <w:rsid w:val="00FC1956"/>
    <w:rsid w:val="00FC262E"/>
    <w:rsid w:val="00FC58A1"/>
    <w:rsid w:val="00FC6535"/>
    <w:rsid w:val="00FC6718"/>
    <w:rsid w:val="00FD4730"/>
    <w:rsid w:val="00FD5DA8"/>
    <w:rsid w:val="00FD7188"/>
    <w:rsid w:val="00FD7547"/>
    <w:rsid w:val="00FE08A7"/>
    <w:rsid w:val="00FE17A5"/>
    <w:rsid w:val="00FE17D9"/>
    <w:rsid w:val="00FE47B7"/>
    <w:rsid w:val="00FE571E"/>
    <w:rsid w:val="00FE70A9"/>
    <w:rsid w:val="00FF119B"/>
    <w:rsid w:val="00FF1735"/>
    <w:rsid w:val="00FF1FB0"/>
    <w:rsid w:val="00FF266E"/>
    <w:rsid w:val="00FF5F5C"/>
    <w:rsid w:val="01CD869E"/>
    <w:rsid w:val="02849658"/>
    <w:rsid w:val="02B069A6"/>
    <w:rsid w:val="033B81B8"/>
    <w:rsid w:val="0353980C"/>
    <w:rsid w:val="03D08B2D"/>
    <w:rsid w:val="03F30459"/>
    <w:rsid w:val="047107E4"/>
    <w:rsid w:val="04A826B6"/>
    <w:rsid w:val="04DBEC25"/>
    <w:rsid w:val="062729F6"/>
    <w:rsid w:val="062D9413"/>
    <w:rsid w:val="06351BF7"/>
    <w:rsid w:val="0649CCFC"/>
    <w:rsid w:val="064C436E"/>
    <w:rsid w:val="065D87D2"/>
    <w:rsid w:val="07239925"/>
    <w:rsid w:val="08022437"/>
    <w:rsid w:val="0804BF80"/>
    <w:rsid w:val="08429DCA"/>
    <w:rsid w:val="086B36E5"/>
    <w:rsid w:val="08CF7907"/>
    <w:rsid w:val="08D65F05"/>
    <w:rsid w:val="08D9D11A"/>
    <w:rsid w:val="09000299"/>
    <w:rsid w:val="0956B7D3"/>
    <w:rsid w:val="0979C59C"/>
    <w:rsid w:val="09DE6E2B"/>
    <w:rsid w:val="09EA0EC4"/>
    <w:rsid w:val="0A0CD982"/>
    <w:rsid w:val="0A3E9318"/>
    <w:rsid w:val="0A61A936"/>
    <w:rsid w:val="0A8ADBA4"/>
    <w:rsid w:val="0A8C5D62"/>
    <w:rsid w:val="0AA8DFDB"/>
    <w:rsid w:val="0B03C3F7"/>
    <w:rsid w:val="0B60C396"/>
    <w:rsid w:val="0C8A298D"/>
    <w:rsid w:val="0C93886A"/>
    <w:rsid w:val="0C9CE4D8"/>
    <w:rsid w:val="0CB3E226"/>
    <w:rsid w:val="0D35B6CC"/>
    <w:rsid w:val="0D6FB6E9"/>
    <w:rsid w:val="0DA47F76"/>
    <w:rsid w:val="0E38B539"/>
    <w:rsid w:val="0E854673"/>
    <w:rsid w:val="0E89B0A4"/>
    <w:rsid w:val="0F442772"/>
    <w:rsid w:val="0F56B7D2"/>
    <w:rsid w:val="0FE35C8C"/>
    <w:rsid w:val="0FE4B5F6"/>
    <w:rsid w:val="10313428"/>
    <w:rsid w:val="104FD60A"/>
    <w:rsid w:val="10567209"/>
    <w:rsid w:val="105AE3DF"/>
    <w:rsid w:val="10A3FE1B"/>
    <w:rsid w:val="10EA7C3D"/>
    <w:rsid w:val="11009B2C"/>
    <w:rsid w:val="111C0B5C"/>
    <w:rsid w:val="11517E89"/>
    <w:rsid w:val="1161CE6A"/>
    <w:rsid w:val="1170ADF1"/>
    <w:rsid w:val="11BD27D1"/>
    <w:rsid w:val="11F66794"/>
    <w:rsid w:val="120BC090"/>
    <w:rsid w:val="1260BC26"/>
    <w:rsid w:val="12891B80"/>
    <w:rsid w:val="129F7F7F"/>
    <w:rsid w:val="12A6B9CC"/>
    <w:rsid w:val="12BF00D0"/>
    <w:rsid w:val="12C3BC7A"/>
    <w:rsid w:val="12D3A310"/>
    <w:rsid w:val="132F9243"/>
    <w:rsid w:val="1371C9C8"/>
    <w:rsid w:val="13956D81"/>
    <w:rsid w:val="14496AF8"/>
    <w:rsid w:val="148BCC32"/>
    <w:rsid w:val="14D47029"/>
    <w:rsid w:val="14EF693F"/>
    <w:rsid w:val="154B2A3D"/>
    <w:rsid w:val="156E0BC2"/>
    <w:rsid w:val="159DAFF2"/>
    <w:rsid w:val="15C1D92D"/>
    <w:rsid w:val="16042C83"/>
    <w:rsid w:val="16271023"/>
    <w:rsid w:val="162931F9"/>
    <w:rsid w:val="163FA4CE"/>
    <w:rsid w:val="1659EA3D"/>
    <w:rsid w:val="1673CC5F"/>
    <w:rsid w:val="16891458"/>
    <w:rsid w:val="16A937B9"/>
    <w:rsid w:val="16B90C6B"/>
    <w:rsid w:val="16C9D8B7"/>
    <w:rsid w:val="16FC7522"/>
    <w:rsid w:val="171FFAB6"/>
    <w:rsid w:val="172671CF"/>
    <w:rsid w:val="177F1E1D"/>
    <w:rsid w:val="178F0525"/>
    <w:rsid w:val="17EF0E71"/>
    <w:rsid w:val="17FB8B8F"/>
    <w:rsid w:val="1806BAB9"/>
    <w:rsid w:val="1824E4B9"/>
    <w:rsid w:val="187D79D3"/>
    <w:rsid w:val="189EDE39"/>
    <w:rsid w:val="19015997"/>
    <w:rsid w:val="191D5DF1"/>
    <w:rsid w:val="1955609E"/>
    <w:rsid w:val="19835566"/>
    <w:rsid w:val="19A76FAA"/>
    <w:rsid w:val="1A5D7B19"/>
    <w:rsid w:val="1AEDC3CB"/>
    <w:rsid w:val="1B1AC7EF"/>
    <w:rsid w:val="1B3291DF"/>
    <w:rsid w:val="1B37646B"/>
    <w:rsid w:val="1B8B0581"/>
    <w:rsid w:val="1BE9F360"/>
    <w:rsid w:val="1C54F065"/>
    <w:rsid w:val="1CD6A3ED"/>
    <w:rsid w:val="1CEAE2AC"/>
    <w:rsid w:val="1DA6CB95"/>
    <w:rsid w:val="1DA861DE"/>
    <w:rsid w:val="1DDD84AF"/>
    <w:rsid w:val="1DE10336"/>
    <w:rsid w:val="1DF550B5"/>
    <w:rsid w:val="1F629455"/>
    <w:rsid w:val="1F72A137"/>
    <w:rsid w:val="209510EE"/>
    <w:rsid w:val="2098CEAF"/>
    <w:rsid w:val="20E48519"/>
    <w:rsid w:val="20F5D358"/>
    <w:rsid w:val="215D9742"/>
    <w:rsid w:val="21BED278"/>
    <w:rsid w:val="21F60115"/>
    <w:rsid w:val="22981B31"/>
    <w:rsid w:val="22D72858"/>
    <w:rsid w:val="22D9E9F7"/>
    <w:rsid w:val="22E7E2DA"/>
    <w:rsid w:val="22EC6ACE"/>
    <w:rsid w:val="2332EABC"/>
    <w:rsid w:val="239759A3"/>
    <w:rsid w:val="23AC02FB"/>
    <w:rsid w:val="23C0BC9F"/>
    <w:rsid w:val="23FCD57B"/>
    <w:rsid w:val="2453B7FD"/>
    <w:rsid w:val="249E5EC6"/>
    <w:rsid w:val="24DCA39D"/>
    <w:rsid w:val="253A9308"/>
    <w:rsid w:val="25683510"/>
    <w:rsid w:val="258A2D8C"/>
    <w:rsid w:val="25BAFDFC"/>
    <w:rsid w:val="25C8999B"/>
    <w:rsid w:val="264350F5"/>
    <w:rsid w:val="2662603A"/>
    <w:rsid w:val="26951FA3"/>
    <w:rsid w:val="273439B9"/>
    <w:rsid w:val="278A584F"/>
    <w:rsid w:val="27A5D336"/>
    <w:rsid w:val="27E48072"/>
    <w:rsid w:val="28075A13"/>
    <w:rsid w:val="28BDCF74"/>
    <w:rsid w:val="2918C44C"/>
    <w:rsid w:val="298731FE"/>
    <w:rsid w:val="29997930"/>
    <w:rsid w:val="2A0BBF18"/>
    <w:rsid w:val="2A275303"/>
    <w:rsid w:val="2A5BEF57"/>
    <w:rsid w:val="2A646476"/>
    <w:rsid w:val="2A6F49F8"/>
    <w:rsid w:val="2A7A3720"/>
    <w:rsid w:val="2AB3BBEC"/>
    <w:rsid w:val="2ABB169B"/>
    <w:rsid w:val="2ACCEACE"/>
    <w:rsid w:val="2AEE7346"/>
    <w:rsid w:val="2B39EAC9"/>
    <w:rsid w:val="2B4B6681"/>
    <w:rsid w:val="2B54D1B6"/>
    <w:rsid w:val="2B76F295"/>
    <w:rsid w:val="2BDC54BA"/>
    <w:rsid w:val="2C2A91AD"/>
    <w:rsid w:val="2C2CC586"/>
    <w:rsid w:val="2C4B3F27"/>
    <w:rsid w:val="2C8A43A7"/>
    <w:rsid w:val="2D6DD903"/>
    <w:rsid w:val="2E18F186"/>
    <w:rsid w:val="2E3DC1C4"/>
    <w:rsid w:val="2E5B06E3"/>
    <w:rsid w:val="2EA50ACC"/>
    <w:rsid w:val="2F12F27E"/>
    <w:rsid w:val="2F565384"/>
    <w:rsid w:val="2F835021"/>
    <w:rsid w:val="2F88A3F6"/>
    <w:rsid w:val="2FAD0BC9"/>
    <w:rsid w:val="2FAD3D85"/>
    <w:rsid w:val="3011321B"/>
    <w:rsid w:val="30180814"/>
    <w:rsid w:val="3018934F"/>
    <w:rsid w:val="3040204F"/>
    <w:rsid w:val="30F8AEC5"/>
    <w:rsid w:val="30FD750E"/>
    <w:rsid w:val="315DB4CA"/>
    <w:rsid w:val="318937A9"/>
    <w:rsid w:val="31D54379"/>
    <w:rsid w:val="31F10624"/>
    <w:rsid w:val="32546B17"/>
    <w:rsid w:val="328DF446"/>
    <w:rsid w:val="32FF832B"/>
    <w:rsid w:val="33042EB3"/>
    <w:rsid w:val="335FE39B"/>
    <w:rsid w:val="337E900B"/>
    <w:rsid w:val="3392D56A"/>
    <w:rsid w:val="33F0AFE5"/>
    <w:rsid w:val="34088A17"/>
    <w:rsid w:val="34C8CF9E"/>
    <w:rsid w:val="34D4CF4C"/>
    <w:rsid w:val="351D879A"/>
    <w:rsid w:val="353F7BFB"/>
    <w:rsid w:val="356A2DB9"/>
    <w:rsid w:val="357988E2"/>
    <w:rsid w:val="35CDFD5D"/>
    <w:rsid w:val="3666B57A"/>
    <w:rsid w:val="36C47747"/>
    <w:rsid w:val="36C80237"/>
    <w:rsid w:val="36CE5B2B"/>
    <w:rsid w:val="37325494"/>
    <w:rsid w:val="3780FC02"/>
    <w:rsid w:val="3794E068"/>
    <w:rsid w:val="3795B8F9"/>
    <w:rsid w:val="386047A8"/>
    <w:rsid w:val="38608FA9"/>
    <w:rsid w:val="38A5B787"/>
    <w:rsid w:val="38BB1D6A"/>
    <w:rsid w:val="39190D29"/>
    <w:rsid w:val="3931895A"/>
    <w:rsid w:val="39455267"/>
    <w:rsid w:val="395BF8F5"/>
    <w:rsid w:val="39AF395C"/>
    <w:rsid w:val="39DECD3C"/>
    <w:rsid w:val="3A5AA694"/>
    <w:rsid w:val="3AD41CA8"/>
    <w:rsid w:val="3ADD0016"/>
    <w:rsid w:val="3AE9E6AF"/>
    <w:rsid w:val="3B015D76"/>
    <w:rsid w:val="3B057FD5"/>
    <w:rsid w:val="3B5B9DF2"/>
    <w:rsid w:val="3B8CC91E"/>
    <w:rsid w:val="3B9AC504"/>
    <w:rsid w:val="3BCA0558"/>
    <w:rsid w:val="3BF5D4E5"/>
    <w:rsid w:val="3BF6C289"/>
    <w:rsid w:val="3C0CDF94"/>
    <w:rsid w:val="3C49F02D"/>
    <w:rsid w:val="3C9F3206"/>
    <w:rsid w:val="3CB287E9"/>
    <w:rsid w:val="3CDE2C36"/>
    <w:rsid w:val="3D763573"/>
    <w:rsid w:val="3D924756"/>
    <w:rsid w:val="3DC7F114"/>
    <w:rsid w:val="3DF72339"/>
    <w:rsid w:val="3E04FA7D"/>
    <w:rsid w:val="3E0E698C"/>
    <w:rsid w:val="3E11A225"/>
    <w:rsid w:val="3E1A7456"/>
    <w:rsid w:val="3EF23CEC"/>
    <w:rsid w:val="3EF83C23"/>
    <w:rsid w:val="3F239685"/>
    <w:rsid w:val="3F63A98F"/>
    <w:rsid w:val="3F63C175"/>
    <w:rsid w:val="3FA748B4"/>
    <w:rsid w:val="3FE55247"/>
    <w:rsid w:val="40128B99"/>
    <w:rsid w:val="401DCF58"/>
    <w:rsid w:val="402C7A79"/>
    <w:rsid w:val="40424BE5"/>
    <w:rsid w:val="40675C99"/>
    <w:rsid w:val="410A88D6"/>
    <w:rsid w:val="411C9E18"/>
    <w:rsid w:val="4189D24D"/>
    <w:rsid w:val="41BBEF3B"/>
    <w:rsid w:val="41E2248A"/>
    <w:rsid w:val="41E239BA"/>
    <w:rsid w:val="4222F249"/>
    <w:rsid w:val="423E0B54"/>
    <w:rsid w:val="424CDF93"/>
    <w:rsid w:val="425604C1"/>
    <w:rsid w:val="427C2118"/>
    <w:rsid w:val="429B6237"/>
    <w:rsid w:val="430B62B9"/>
    <w:rsid w:val="430CF021"/>
    <w:rsid w:val="4345447F"/>
    <w:rsid w:val="434F0CC6"/>
    <w:rsid w:val="43597B6C"/>
    <w:rsid w:val="436467E7"/>
    <w:rsid w:val="43AB1B2C"/>
    <w:rsid w:val="43B0E6BA"/>
    <w:rsid w:val="43DC1BB7"/>
    <w:rsid w:val="43E9E0FB"/>
    <w:rsid w:val="4404C25F"/>
    <w:rsid w:val="44105A54"/>
    <w:rsid w:val="4417F179"/>
    <w:rsid w:val="4420D75A"/>
    <w:rsid w:val="442EEEC7"/>
    <w:rsid w:val="44833760"/>
    <w:rsid w:val="4487941B"/>
    <w:rsid w:val="44E2235A"/>
    <w:rsid w:val="45170C36"/>
    <w:rsid w:val="454CB71B"/>
    <w:rsid w:val="45838ECE"/>
    <w:rsid w:val="458A3104"/>
    <w:rsid w:val="45BFED21"/>
    <w:rsid w:val="45E4DAFA"/>
    <w:rsid w:val="465D21DB"/>
    <w:rsid w:val="46B595AD"/>
    <w:rsid w:val="46C1FF94"/>
    <w:rsid w:val="46E8877C"/>
    <w:rsid w:val="46F0C4DE"/>
    <w:rsid w:val="4716F65D"/>
    <w:rsid w:val="4721E44D"/>
    <w:rsid w:val="4731712D"/>
    <w:rsid w:val="4750DBD1"/>
    <w:rsid w:val="4775C3C6"/>
    <w:rsid w:val="47A41776"/>
    <w:rsid w:val="47A714C8"/>
    <w:rsid w:val="47B24BE2"/>
    <w:rsid w:val="47B50AF4"/>
    <w:rsid w:val="4837951A"/>
    <w:rsid w:val="485F2D0B"/>
    <w:rsid w:val="48E3CB77"/>
    <w:rsid w:val="4924131E"/>
    <w:rsid w:val="49510608"/>
    <w:rsid w:val="49A7D4A0"/>
    <w:rsid w:val="49C651B3"/>
    <w:rsid w:val="49ED366F"/>
    <w:rsid w:val="4A010217"/>
    <w:rsid w:val="4AE66E32"/>
    <w:rsid w:val="4B504531"/>
    <w:rsid w:val="4BF0153F"/>
    <w:rsid w:val="4C12CC75"/>
    <w:rsid w:val="4C4FB54E"/>
    <w:rsid w:val="4C675394"/>
    <w:rsid w:val="4C6EB22E"/>
    <w:rsid w:val="4C7BE326"/>
    <w:rsid w:val="4C9E5493"/>
    <w:rsid w:val="4CD1C021"/>
    <w:rsid w:val="4D6E8055"/>
    <w:rsid w:val="4DA6C7A5"/>
    <w:rsid w:val="4DBF8B01"/>
    <w:rsid w:val="4DC60B7D"/>
    <w:rsid w:val="4DF4ABA5"/>
    <w:rsid w:val="4E44B8D9"/>
    <w:rsid w:val="4E624E73"/>
    <w:rsid w:val="4EC06849"/>
    <w:rsid w:val="4F45B147"/>
    <w:rsid w:val="4F4896FC"/>
    <w:rsid w:val="4F50AEA1"/>
    <w:rsid w:val="4F68B4AC"/>
    <w:rsid w:val="4F711CDA"/>
    <w:rsid w:val="4FAC7CFF"/>
    <w:rsid w:val="4FAF903C"/>
    <w:rsid w:val="4FF99A8C"/>
    <w:rsid w:val="503C9037"/>
    <w:rsid w:val="508245C0"/>
    <w:rsid w:val="50DD3F55"/>
    <w:rsid w:val="5105B040"/>
    <w:rsid w:val="51190C41"/>
    <w:rsid w:val="512C40CF"/>
    <w:rsid w:val="51A5C9CD"/>
    <w:rsid w:val="51BAA678"/>
    <w:rsid w:val="5206E43E"/>
    <w:rsid w:val="520A3173"/>
    <w:rsid w:val="52758DE7"/>
    <w:rsid w:val="52F6D4D7"/>
    <w:rsid w:val="535A3943"/>
    <w:rsid w:val="537678A7"/>
    <w:rsid w:val="537F0828"/>
    <w:rsid w:val="538C2097"/>
    <w:rsid w:val="538EEDB6"/>
    <w:rsid w:val="5408B20C"/>
    <w:rsid w:val="54115E48"/>
    <w:rsid w:val="54443A29"/>
    <w:rsid w:val="544AC4CC"/>
    <w:rsid w:val="546EB34B"/>
    <w:rsid w:val="5474281B"/>
    <w:rsid w:val="549006C4"/>
    <w:rsid w:val="54B426DC"/>
    <w:rsid w:val="55107CC4"/>
    <w:rsid w:val="55221F65"/>
    <w:rsid w:val="5537EBCC"/>
    <w:rsid w:val="55A0B224"/>
    <w:rsid w:val="55D2332B"/>
    <w:rsid w:val="55DCA2F0"/>
    <w:rsid w:val="562A655F"/>
    <w:rsid w:val="567A97DA"/>
    <w:rsid w:val="56950343"/>
    <w:rsid w:val="56B31267"/>
    <w:rsid w:val="56D464B8"/>
    <w:rsid w:val="577DCF3C"/>
    <w:rsid w:val="57998282"/>
    <w:rsid w:val="57B19EA8"/>
    <w:rsid w:val="57CB2857"/>
    <w:rsid w:val="58143656"/>
    <w:rsid w:val="5830FE35"/>
    <w:rsid w:val="5835F7B2"/>
    <w:rsid w:val="584F5A79"/>
    <w:rsid w:val="58622C08"/>
    <w:rsid w:val="5869A954"/>
    <w:rsid w:val="5926D1CC"/>
    <w:rsid w:val="5943AB8D"/>
    <w:rsid w:val="59D77710"/>
    <w:rsid w:val="5A0579B5"/>
    <w:rsid w:val="5A0C057A"/>
    <w:rsid w:val="5ADC6E64"/>
    <w:rsid w:val="5AE6DE29"/>
    <w:rsid w:val="5B0A44A1"/>
    <w:rsid w:val="5B5E84B7"/>
    <w:rsid w:val="5BA550BD"/>
    <w:rsid w:val="5BE2F299"/>
    <w:rsid w:val="5C833D8E"/>
    <w:rsid w:val="5CAE4023"/>
    <w:rsid w:val="5DC10F5D"/>
    <w:rsid w:val="5E21FF78"/>
    <w:rsid w:val="5E2F161D"/>
    <w:rsid w:val="5E3F9B69"/>
    <w:rsid w:val="5E4A258F"/>
    <w:rsid w:val="5E5DBE46"/>
    <w:rsid w:val="5E7CA050"/>
    <w:rsid w:val="5EB2EEF3"/>
    <w:rsid w:val="5EB890FD"/>
    <w:rsid w:val="5F49AB8A"/>
    <w:rsid w:val="5F980008"/>
    <w:rsid w:val="5FA4F078"/>
    <w:rsid w:val="5FDADC5E"/>
    <w:rsid w:val="5FE3C0CE"/>
    <w:rsid w:val="5FE96BB0"/>
    <w:rsid w:val="60B2300A"/>
    <w:rsid w:val="61347E30"/>
    <w:rsid w:val="61466490"/>
    <w:rsid w:val="61931CE9"/>
    <w:rsid w:val="619B6FFB"/>
    <w:rsid w:val="61B984F3"/>
    <w:rsid w:val="628D6BEA"/>
    <w:rsid w:val="6299C70E"/>
    <w:rsid w:val="62B227E0"/>
    <w:rsid w:val="62CFDE57"/>
    <w:rsid w:val="62F2C755"/>
    <w:rsid w:val="62FA36F3"/>
    <w:rsid w:val="6326E565"/>
    <w:rsid w:val="633667CB"/>
    <w:rsid w:val="63654A7C"/>
    <w:rsid w:val="63C31F5D"/>
    <w:rsid w:val="6477E5E4"/>
    <w:rsid w:val="65A4E53C"/>
    <w:rsid w:val="66553774"/>
    <w:rsid w:val="668BC0AB"/>
    <w:rsid w:val="66C34FDE"/>
    <w:rsid w:val="67E96AC1"/>
    <w:rsid w:val="683A7A47"/>
    <w:rsid w:val="684E7FC5"/>
    <w:rsid w:val="68D09991"/>
    <w:rsid w:val="699D9756"/>
    <w:rsid w:val="69D19DB0"/>
    <w:rsid w:val="6A5482B6"/>
    <w:rsid w:val="6A5C0A9A"/>
    <w:rsid w:val="6A78565F"/>
    <w:rsid w:val="6A8EF820"/>
    <w:rsid w:val="6A9C75BF"/>
    <w:rsid w:val="6A9CA1B8"/>
    <w:rsid w:val="6AEB6663"/>
    <w:rsid w:val="6AEFC31A"/>
    <w:rsid w:val="6B0D8ECC"/>
    <w:rsid w:val="6B57ECE9"/>
    <w:rsid w:val="6B5F31CE"/>
    <w:rsid w:val="6B60B6AA"/>
    <w:rsid w:val="6C11A1C2"/>
    <w:rsid w:val="6C1426C0"/>
    <w:rsid w:val="6C62837C"/>
    <w:rsid w:val="6C7D9F64"/>
    <w:rsid w:val="6C9DD0C1"/>
    <w:rsid w:val="6CAEBFD0"/>
    <w:rsid w:val="6CB858A9"/>
    <w:rsid w:val="6D043EE5"/>
    <w:rsid w:val="6D6BE3B5"/>
    <w:rsid w:val="6D709A30"/>
    <w:rsid w:val="6DB83BEB"/>
    <w:rsid w:val="6E2E4B1F"/>
    <w:rsid w:val="6E3F83E8"/>
    <w:rsid w:val="6EC2A9ED"/>
    <w:rsid w:val="6EE4A0BD"/>
    <w:rsid w:val="6F0AA77C"/>
    <w:rsid w:val="6F206BF5"/>
    <w:rsid w:val="6F34310C"/>
    <w:rsid w:val="6F6691D4"/>
    <w:rsid w:val="6FC4BF6D"/>
    <w:rsid w:val="6FE97E1D"/>
    <w:rsid w:val="6FEEDEE3"/>
    <w:rsid w:val="6FFE3C08"/>
    <w:rsid w:val="703940C4"/>
    <w:rsid w:val="7039E2D4"/>
    <w:rsid w:val="7080711E"/>
    <w:rsid w:val="708AFC1F"/>
    <w:rsid w:val="70945FEE"/>
    <w:rsid w:val="709D5362"/>
    <w:rsid w:val="70D50A1C"/>
    <w:rsid w:val="71ED3B83"/>
    <w:rsid w:val="731D7067"/>
    <w:rsid w:val="73523848"/>
    <w:rsid w:val="735B52C0"/>
    <w:rsid w:val="735D4C93"/>
    <w:rsid w:val="73CB7F16"/>
    <w:rsid w:val="741A3EA7"/>
    <w:rsid w:val="74703304"/>
    <w:rsid w:val="75111661"/>
    <w:rsid w:val="7512883E"/>
    <w:rsid w:val="752E6DC3"/>
    <w:rsid w:val="75632BAE"/>
    <w:rsid w:val="75E0507E"/>
    <w:rsid w:val="75FC6D63"/>
    <w:rsid w:val="765533CC"/>
    <w:rsid w:val="767348C4"/>
    <w:rsid w:val="7677C60B"/>
    <w:rsid w:val="76ACE6C2"/>
    <w:rsid w:val="76D4A3B0"/>
    <w:rsid w:val="76EECF65"/>
    <w:rsid w:val="76F8ADB3"/>
    <w:rsid w:val="787ACF68"/>
    <w:rsid w:val="78D2A6A4"/>
    <w:rsid w:val="793B2D8E"/>
    <w:rsid w:val="7943FE36"/>
    <w:rsid w:val="795427BA"/>
    <w:rsid w:val="7972E0E8"/>
    <w:rsid w:val="79A333FC"/>
    <w:rsid w:val="79D23A65"/>
    <w:rsid w:val="79FF4BFA"/>
    <w:rsid w:val="7A7A4FA0"/>
    <w:rsid w:val="7B378861"/>
    <w:rsid w:val="7B55E2DB"/>
    <w:rsid w:val="7B737975"/>
    <w:rsid w:val="7BE23AF5"/>
    <w:rsid w:val="7C4C3819"/>
    <w:rsid w:val="7C7A8551"/>
    <w:rsid w:val="7CB86FCD"/>
    <w:rsid w:val="7CCF9EBD"/>
    <w:rsid w:val="7CF3DDAF"/>
    <w:rsid w:val="7CFBDCAC"/>
    <w:rsid w:val="7D5F11CA"/>
    <w:rsid w:val="7DB8AD18"/>
    <w:rsid w:val="7E0AFC74"/>
    <w:rsid w:val="7E16F4DA"/>
    <w:rsid w:val="7E181FB8"/>
    <w:rsid w:val="7E3005F3"/>
    <w:rsid w:val="7E4AA929"/>
    <w:rsid w:val="7E9B5D57"/>
    <w:rsid w:val="7E9C51DA"/>
    <w:rsid w:val="7EF38AE1"/>
    <w:rsid w:val="7EFD6C4B"/>
    <w:rsid w:val="7F2F13AB"/>
    <w:rsid w:val="7F46C758"/>
    <w:rsid w:val="7F9EC420"/>
    <w:rsid w:val="7FA75540"/>
    <w:rsid w:val="7FA75720"/>
    <w:rsid w:val="7FCEFF74"/>
    <w:rsid w:val="7FF359C1"/>
    <w:rsid w:val="7FF5903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0928D3"/>
  <w15:docId w15:val="{0F32B5DE-4C2E-4492-9D4D-BC9463881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6562"/>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CA5330"/>
    <w:pPr>
      <w:keepNext/>
      <w:numPr>
        <w:numId w:val="31"/>
      </w:numPr>
      <w:spacing w:before="240" w:after="240"/>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324B88"/>
    <w:pPr>
      <w:keepNext/>
      <w:numPr>
        <w:ilvl w:val="1"/>
        <w:numId w:val="31"/>
      </w:numPr>
      <w:spacing w:before="240" w:after="240"/>
      <w:outlineLvl w:val="1"/>
    </w:pPr>
    <w:rPr>
      <w:rFonts w:cs="Arial"/>
      <w:b/>
      <w:bCs/>
      <w:sz w:val="28"/>
      <w:szCs w:val="22"/>
      <w:lang w:eastAsia="en-AU" w:bidi="ar-SA"/>
    </w:rPr>
  </w:style>
  <w:style w:type="paragraph" w:styleId="Heading3">
    <w:name w:val="heading 3"/>
    <w:aliases w:val="FSHeading 3,Subheading 1"/>
    <w:basedOn w:val="Normal"/>
    <w:next w:val="Normal"/>
    <w:link w:val="Heading3Char"/>
    <w:autoRedefine/>
    <w:uiPriority w:val="9"/>
    <w:unhideWhenUsed/>
    <w:qFormat/>
    <w:rsid w:val="00251931"/>
    <w:pPr>
      <w:keepNext/>
      <w:numPr>
        <w:ilvl w:val="2"/>
        <w:numId w:val="31"/>
      </w:numPr>
      <w:spacing w:before="240" w:after="240"/>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numPr>
        <w:ilvl w:val="3"/>
        <w:numId w:val="31"/>
      </w:numPr>
      <w:spacing w:before="240" w:after="240"/>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numPr>
        <w:ilvl w:val="4"/>
        <w:numId w:val="31"/>
      </w:numPr>
      <w:spacing w:before="240" w:after="240"/>
      <w:outlineLvl w:val="4"/>
    </w:pPr>
    <w:rPr>
      <w:i/>
      <w:szCs w:val="22"/>
      <w:lang w:bidi="ar-SA"/>
    </w:rPr>
  </w:style>
  <w:style w:type="paragraph" w:styleId="Heading6">
    <w:name w:val="heading 6"/>
    <w:basedOn w:val="Normal"/>
    <w:next w:val="Normal"/>
    <w:link w:val="Heading6Char"/>
    <w:uiPriority w:val="9"/>
    <w:unhideWhenUsed/>
    <w:rsid w:val="00B731D3"/>
    <w:pPr>
      <w:numPr>
        <w:ilvl w:val="5"/>
        <w:numId w:val="10"/>
      </w:num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numPr>
        <w:ilvl w:val="6"/>
        <w:numId w:val="10"/>
      </w:numPr>
      <w:spacing w:before="240" w:after="60"/>
      <w:outlineLvl w:val="6"/>
    </w:pPr>
  </w:style>
  <w:style w:type="paragraph" w:styleId="Heading8">
    <w:name w:val="heading 8"/>
    <w:basedOn w:val="Normal"/>
    <w:next w:val="Normal"/>
    <w:link w:val="Heading8Char"/>
    <w:uiPriority w:val="9"/>
    <w:unhideWhenUsed/>
    <w:rsid w:val="00B731D3"/>
    <w:pPr>
      <w:numPr>
        <w:ilvl w:val="7"/>
        <w:numId w:val="10"/>
      </w:numPr>
      <w:spacing w:before="240" w:after="60"/>
      <w:outlineLvl w:val="7"/>
    </w:pPr>
    <w:rPr>
      <w:i/>
      <w:iCs/>
    </w:rPr>
  </w:style>
  <w:style w:type="paragraph" w:styleId="Heading9">
    <w:name w:val="heading 9"/>
    <w:basedOn w:val="Normal"/>
    <w:next w:val="Normal"/>
    <w:link w:val="Heading9Char"/>
    <w:uiPriority w:val="9"/>
    <w:unhideWhenUsed/>
    <w:rsid w:val="00B731D3"/>
    <w:pPr>
      <w:numPr>
        <w:ilvl w:val="8"/>
        <w:numId w:val="10"/>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24B88"/>
    <w:rPr>
      <w:rFonts w:ascii="Arial" w:hAnsi="Arial" w:cs="Arial"/>
      <w:b/>
      <w:bCs/>
      <w:sz w:val="28"/>
      <w:szCs w:val="22"/>
      <w:lang w:eastAsia="en-AU"/>
    </w:rPr>
  </w:style>
  <w:style w:type="character" w:customStyle="1" w:styleId="Heading3Char">
    <w:name w:val="Heading 3 Char"/>
    <w:aliases w:val="FSHeading 3 Char,Subheading 1 Char"/>
    <w:link w:val="Heading3"/>
    <w:uiPriority w:val="9"/>
    <w:rsid w:val="00251931"/>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ascii="Arial" w:hAnsi="Arial" w:cs="Arial Unicode MS"/>
      <w:b/>
      <w:bCs/>
      <w:sz w:val="22"/>
      <w:szCs w:val="22"/>
      <w:lang w:eastAsia="en-US" w:bidi="en-US"/>
    </w:rPr>
  </w:style>
  <w:style w:type="character" w:customStyle="1" w:styleId="Heading7Char">
    <w:name w:val="Heading 7 Char"/>
    <w:basedOn w:val="DefaultParagraphFont"/>
    <w:link w:val="Heading7"/>
    <w:uiPriority w:val="9"/>
    <w:rsid w:val="00B731D3"/>
    <w:rPr>
      <w:rFonts w:ascii="Arial" w:hAnsi="Arial"/>
      <w:sz w:val="22"/>
      <w:szCs w:val="24"/>
      <w:lang w:eastAsia="en-US" w:bidi="en-US"/>
    </w:rPr>
  </w:style>
  <w:style w:type="character" w:customStyle="1" w:styleId="Heading8Char">
    <w:name w:val="Heading 8 Char"/>
    <w:basedOn w:val="DefaultParagraphFont"/>
    <w:link w:val="Heading8"/>
    <w:uiPriority w:val="9"/>
    <w:rsid w:val="00B731D3"/>
    <w:rPr>
      <w:rFonts w:ascii="Arial" w:hAnsi="Arial"/>
      <w:i/>
      <w:iCs/>
      <w:sz w:val="22"/>
      <w:szCs w:val="24"/>
      <w:lang w:eastAsia="en-US" w:bidi="en-US"/>
    </w:rPr>
  </w:style>
  <w:style w:type="character" w:customStyle="1" w:styleId="Heading9Char">
    <w:name w:val="Heading 9 Char"/>
    <w:basedOn w:val="DefaultParagraphFont"/>
    <w:link w:val="Heading9"/>
    <w:uiPriority w:val="9"/>
    <w:rsid w:val="00B731D3"/>
    <w:rPr>
      <w:rFonts w:ascii="Cambria" w:hAnsi="Cambria"/>
      <w:sz w:val="22"/>
      <w:szCs w:val="22"/>
      <w:lang w:eastAsia="en-US" w:bidi="en-US"/>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Cbaseheading">
    <w:name w:val="FSC_base_heading"/>
    <w:rsid w:val="00796562"/>
    <w:pPr>
      <w:keepNext/>
      <w:keepLines/>
      <w:spacing w:before="360"/>
      <w:ind w:left="2835" w:hanging="2835"/>
    </w:pPr>
    <w:rPr>
      <w:rFonts w:ascii="Arial" w:hAnsi="Arial" w:cs="Arial"/>
      <w:b/>
      <w:bCs/>
      <w:kern w:val="32"/>
      <w:sz w:val="24"/>
      <w:szCs w:val="32"/>
      <w:lang w:eastAsia="en-AU"/>
    </w:rPr>
  </w:style>
  <w:style w:type="paragraph" w:styleId="TOC1">
    <w:name w:val="toc 1"/>
    <w:basedOn w:val="Normal"/>
    <w:next w:val="Normal"/>
    <w:autoRedefine/>
    <w:uiPriority w:val="39"/>
    <w:rsid w:val="0066178F"/>
    <w:pPr>
      <w:tabs>
        <w:tab w:val="right" w:leader="dot" w:pos="9060"/>
      </w:tabs>
      <w:spacing w:before="120" w:after="120"/>
    </w:pPr>
    <w:rPr>
      <w:rFonts w:asciiTheme="minorHAnsi" w:hAnsi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rsid w:val="00054CA2"/>
    <w:pPr>
      <w:tabs>
        <w:tab w:val="left" w:pos="1100"/>
        <w:tab w:val="right" w:leader="dot" w:pos="9060"/>
      </w:tabs>
      <w:ind w:left="440"/>
    </w:pPr>
    <w:rPr>
      <w:rFonts w:asciiTheme="minorHAnsi" w:hAnsiTheme="minorHAnsi"/>
      <w:i/>
      <w:iCs/>
      <w:sz w:val="20"/>
      <w:szCs w:val="20"/>
    </w:rPr>
  </w:style>
  <w:style w:type="paragraph" w:styleId="TOC4">
    <w:name w:val="toc 4"/>
    <w:basedOn w:val="Normal"/>
    <w:next w:val="Normal"/>
    <w:autoRedefine/>
    <w:semiHidden/>
    <w:pPr>
      <w:ind w:left="660"/>
    </w:pPr>
    <w:rPr>
      <w:rFonts w:asciiTheme="minorHAnsi" w:hAnsiTheme="minorHAnsi"/>
      <w:sz w:val="18"/>
      <w:szCs w:val="18"/>
    </w:rPr>
  </w:style>
  <w:style w:type="paragraph" w:styleId="TOC5">
    <w:name w:val="toc 5"/>
    <w:basedOn w:val="Normal"/>
    <w:next w:val="Normal"/>
    <w:autoRedefine/>
    <w:semiHidden/>
    <w:pPr>
      <w:ind w:left="880"/>
    </w:pPr>
    <w:rPr>
      <w:rFonts w:asciiTheme="minorHAnsi" w:hAnsi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sz w:val="18"/>
      <w:szCs w:val="18"/>
    </w:rPr>
  </w:style>
  <w:style w:type="paragraph" w:customStyle="1" w:styleId="FSCbasepara">
    <w:name w:val="FSC_base_para"/>
    <w:rsid w:val="00796562"/>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796562"/>
    <w:pPr>
      <w:spacing w:before="60" w:after="60"/>
      <w:ind w:left="0" w:firstLine="0"/>
    </w:pPr>
    <w:rPr>
      <w:sz w:val="18"/>
    </w:rPr>
  </w:style>
  <w:style w:type="paragraph" w:customStyle="1" w:styleId="FSCbaseTOC">
    <w:name w:val="FSC_base_TOC"/>
    <w:rsid w:val="00796562"/>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796562"/>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796562"/>
    <w:pPr>
      <w:spacing w:before="120" w:after="120"/>
      <w:ind w:left="851" w:hanging="851"/>
    </w:pPr>
    <w:rPr>
      <w:b/>
      <w:sz w:val="20"/>
      <w:szCs w:val="20"/>
      <w:lang w:bidi="ar-SA"/>
    </w:rPr>
  </w:style>
  <w:style w:type="paragraph" w:customStyle="1" w:styleId="FSCfooter">
    <w:name w:val="FSC_footer"/>
    <w:basedOn w:val="Normal"/>
    <w:rsid w:val="00796562"/>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796562"/>
    <w:pPr>
      <w:spacing w:before="0" w:after="240"/>
      <w:outlineLvl w:val="0"/>
    </w:pPr>
    <w:rPr>
      <w:bCs w:val="0"/>
      <w:sz w:val="40"/>
    </w:rPr>
  </w:style>
  <w:style w:type="paragraph" w:customStyle="1" w:styleId="FSCh2Part">
    <w:name w:val="FSC_h2_Part"/>
    <w:basedOn w:val="FSCbaseheading"/>
    <w:next w:val="Normal"/>
    <w:qFormat/>
    <w:rsid w:val="00796562"/>
    <w:pPr>
      <w:spacing w:before="240" w:after="240"/>
      <w:outlineLvl w:val="1"/>
    </w:pPr>
    <w:rPr>
      <w:bCs w:val="0"/>
      <w:sz w:val="36"/>
      <w:szCs w:val="22"/>
    </w:rPr>
  </w:style>
  <w:style w:type="paragraph" w:customStyle="1" w:styleId="FSCh3Standard">
    <w:name w:val="FSC_h3_Standard"/>
    <w:basedOn w:val="FSCbaseheading"/>
    <w:next w:val="Normal"/>
    <w:qFormat/>
    <w:rsid w:val="00796562"/>
    <w:pPr>
      <w:spacing w:before="0" w:after="240"/>
      <w:outlineLvl w:val="2"/>
    </w:pPr>
    <w:rPr>
      <w:sz w:val="32"/>
    </w:rPr>
  </w:style>
  <w:style w:type="paragraph" w:customStyle="1" w:styleId="FSCh3Contents">
    <w:name w:val="FSC_h3_Contents"/>
    <w:basedOn w:val="FSCh3Standard"/>
    <w:rsid w:val="00796562"/>
    <w:pPr>
      <w:ind w:left="0" w:firstLine="0"/>
      <w:jc w:val="center"/>
    </w:pPr>
  </w:style>
  <w:style w:type="paragraph" w:customStyle="1" w:styleId="FSCh4Div">
    <w:name w:val="FSC_h4_Div"/>
    <w:basedOn w:val="FSCbaseheading"/>
    <w:next w:val="Normal"/>
    <w:qFormat/>
    <w:rsid w:val="00796562"/>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796562"/>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796562"/>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796562"/>
    <w:pPr>
      <w:keepLines w:val="0"/>
      <w:widowControl w:val="0"/>
      <w:spacing w:before="120" w:after="60"/>
      <w:ind w:left="1701" w:firstLine="0"/>
    </w:pPr>
    <w:rPr>
      <w:b w:val="0"/>
      <w:i/>
      <w:sz w:val="20"/>
    </w:rPr>
  </w:style>
  <w:style w:type="paragraph" w:customStyle="1" w:styleId="Footnote">
    <w:name w:val="Footnote"/>
    <w:basedOn w:val="Normal"/>
    <w:pPr>
      <w:tabs>
        <w:tab w:val="left" w:pos="851"/>
      </w:tabs>
    </w:pPr>
    <w:rPr>
      <w:sz w:val="20"/>
      <w:szCs w:val="20"/>
    </w:rPr>
  </w:style>
  <w:style w:type="paragraph" w:styleId="TOC7">
    <w:name w:val="toc 7"/>
    <w:basedOn w:val="Normal"/>
    <w:next w:val="Normal"/>
    <w:autoRedefine/>
    <w:semiHidden/>
    <w:pPr>
      <w:ind w:left="1320"/>
    </w:pPr>
    <w:rPr>
      <w:rFonts w:asciiTheme="minorHAnsi" w:hAnsiTheme="minorHAnsi"/>
      <w:sz w:val="18"/>
      <w:szCs w:val="18"/>
    </w:rPr>
  </w:style>
  <w:style w:type="paragraph" w:styleId="TOC8">
    <w:name w:val="toc 8"/>
    <w:basedOn w:val="Normal"/>
    <w:next w:val="Normal"/>
    <w:autoRedefine/>
    <w:semiHidden/>
    <w:pPr>
      <w:ind w:left="1540"/>
    </w:pPr>
    <w:rPr>
      <w:rFonts w:asciiTheme="minorHAnsi" w:hAnsiTheme="minorHAnsi"/>
      <w:sz w:val="18"/>
      <w:szCs w:val="18"/>
    </w:rPr>
  </w:style>
  <w:style w:type="paragraph" w:styleId="TOC9">
    <w:name w:val="toc 9"/>
    <w:basedOn w:val="Normal"/>
    <w:next w:val="Normal"/>
    <w:autoRedefine/>
    <w:semiHidden/>
    <w:pPr>
      <w:ind w:left="1760"/>
    </w:pPr>
    <w:rPr>
      <w:rFonts w:asciiTheme="minorHAnsi" w:hAnsiTheme="minorHAnsi"/>
      <w:sz w:val="18"/>
      <w:szCs w:val="18"/>
    </w:rPr>
  </w:style>
  <w:style w:type="paragraph" w:styleId="FootnoteText">
    <w:name w:val="footnote text"/>
    <w:aliases w:val="Footnotes Text,FSFootnotes Text,FSFootnote Text"/>
    <w:basedOn w:val="Normal"/>
    <w:link w:val="FootnoteTextChar"/>
    <w:qFormat/>
    <w:rPr>
      <w:sz w:val="20"/>
      <w:szCs w:val="20"/>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2A3314"/>
    <w:pPr>
      <w:jc w:val="center"/>
      <w:outlineLvl w:val="9"/>
    </w:pPr>
  </w:style>
  <w:style w:type="paragraph" w:customStyle="1" w:styleId="FSCtMain">
    <w:name w:val="FSC_t_Main"/>
    <w:basedOn w:val="FSCbasepara"/>
    <w:rsid w:val="00796562"/>
    <w:pPr>
      <w:keepLines w:val="0"/>
      <w:widowControl w:val="0"/>
      <w:tabs>
        <w:tab w:val="left" w:pos="1134"/>
      </w:tabs>
      <w:spacing w:after="120"/>
    </w:pPr>
  </w:style>
  <w:style w:type="paragraph" w:customStyle="1" w:styleId="FSCnatHeading">
    <w:name w:val="FSC_n_at_Heading"/>
    <w:basedOn w:val="FSCtMain"/>
    <w:qFormat/>
    <w:rsid w:val="00796562"/>
    <w:pPr>
      <w:ind w:left="851" w:hanging="851"/>
    </w:pPr>
    <w:rPr>
      <w:sz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customStyle="1" w:styleId="FSCtPara">
    <w:name w:val="FSC_t_Para"/>
    <w:basedOn w:val="FSCtMain"/>
    <w:qFormat/>
    <w:rsid w:val="00796562"/>
    <w:pPr>
      <w:tabs>
        <w:tab w:val="clear" w:pos="1134"/>
        <w:tab w:val="left" w:pos="1701"/>
      </w:tabs>
      <w:spacing w:before="60" w:after="60"/>
      <w:ind w:left="2268" w:hanging="2268"/>
    </w:pPr>
  </w:style>
  <w:style w:type="paragraph" w:customStyle="1" w:styleId="FSCnMain">
    <w:name w:val="FSC_n_Main"/>
    <w:basedOn w:val="FSCtPara"/>
    <w:qFormat/>
    <w:rsid w:val="00796562"/>
    <w:rPr>
      <w:iCs w:val="0"/>
      <w:sz w:val="16"/>
      <w:szCs w:val="18"/>
    </w:rPr>
  </w:style>
  <w:style w:type="paragraph" w:customStyle="1" w:styleId="FSCtSubpara">
    <w:name w:val="FSC_t_Subpara"/>
    <w:basedOn w:val="FSCtMain"/>
    <w:qFormat/>
    <w:rsid w:val="00796562"/>
    <w:pPr>
      <w:tabs>
        <w:tab w:val="clear" w:pos="1134"/>
        <w:tab w:val="left" w:pos="2268"/>
      </w:tabs>
      <w:spacing w:before="60" w:after="60"/>
      <w:ind w:left="2835" w:hanging="2835"/>
    </w:pPr>
  </w:style>
  <w:style w:type="paragraph" w:customStyle="1" w:styleId="FSCnPara">
    <w:name w:val="FSC_n_Para"/>
    <w:basedOn w:val="FSCtSubpara"/>
    <w:qFormat/>
    <w:rsid w:val="00796562"/>
    <w:rPr>
      <w:sz w:val="16"/>
    </w:rPr>
  </w:style>
  <w:style w:type="paragraph" w:customStyle="1" w:styleId="FSCtSubsub">
    <w:name w:val="FSC_t_Subsub"/>
    <w:basedOn w:val="FSCtPara"/>
    <w:qFormat/>
    <w:rsid w:val="00796562"/>
    <w:pPr>
      <w:tabs>
        <w:tab w:val="clear" w:pos="1701"/>
        <w:tab w:val="left" w:pos="2835"/>
      </w:tabs>
      <w:ind w:left="3402" w:hanging="3402"/>
    </w:pPr>
  </w:style>
  <w:style w:type="paragraph" w:customStyle="1" w:styleId="FSCnSubpara">
    <w:name w:val="FSC_n_Subpara"/>
    <w:basedOn w:val="FSCtSubsub"/>
    <w:qFormat/>
    <w:rsid w:val="00796562"/>
    <w:rPr>
      <w:sz w:val="16"/>
    </w:rPr>
  </w:style>
  <w:style w:type="paragraph" w:customStyle="1" w:styleId="FSBullet1">
    <w:name w:val="FSBullet 1"/>
    <w:basedOn w:val="Normal"/>
    <w:next w:val="Normal"/>
    <w:link w:val="FSBullet1Char"/>
    <w:qFormat/>
    <w:rsid w:val="0029631C"/>
    <w:pPr>
      <w:widowControl/>
      <w:numPr>
        <w:numId w:val="7"/>
      </w:numPr>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8"/>
      </w:numPr>
    </w:pPr>
    <w:rPr>
      <w:rFonts w:eastAsia="Calibri"/>
      <w:szCs w:val="22"/>
      <w:lang w:bidi="ar-SA"/>
    </w:rPr>
  </w:style>
  <w:style w:type="paragraph" w:customStyle="1" w:styleId="FSBullet3">
    <w:name w:val="FSBullet 3"/>
    <w:basedOn w:val="Normal"/>
    <w:qFormat/>
    <w:rsid w:val="0029631C"/>
    <w:pPr>
      <w:keepNext/>
      <w:widowControl/>
      <w:numPr>
        <w:numId w:val="9"/>
      </w:numPr>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customStyle="1" w:styleId="FSCnSubsub">
    <w:name w:val="FSC_n_Subsub"/>
    <w:basedOn w:val="FSCnSubpara"/>
    <w:qFormat/>
    <w:rsid w:val="00796562"/>
    <w:pPr>
      <w:tabs>
        <w:tab w:val="clear" w:pos="2835"/>
        <w:tab w:val="left" w:pos="3402"/>
      </w:tabs>
      <w:ind w:left="3969" w:hanging="3969"/>
    </w:pPr>
  </w:style>
  <w:style w:type="paragraph" w:customStyle="1" w:styleId="FSCoContents">
    <w:name w:val="FSC_o_Contents"/>
    <w:basedOn w:val="FSCh2Part"/>
    <w:rsid w:val="00796562"/>
    <w:pPr>
      <w:ind w:left="0" w:firstLine="0"/>
      <w:jc w:val="center"/>
    </w:pPr>
  </w:style>
  <w:style w:type="paragraph" w:customStyle="1" w:styleId="FSCoDraftstrip">
    <w:name w:val="FSC_o_Draft_strip"/>
    <w:basedOn w:val="Normal"/>
    <w:rsid w:val="00796562"/>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796562"/>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796562"/>
    <w:pPr>
      <w:widowControl/>
      <w:spacing w:before="80"/>
    </w:pPr>
    <w:rPr>
      <w:color w:val="7030A0"/>
      <w:lang w:eastAsia="en-AU" w:bidi="ar-SA"/>
    </w:rPr>
  </w:style>
  <w:style w:type="paragraph" w:customStyle="1" w:styleId="FSCoFooter">
    <w:name w:val="FSC_o_Footer"/>
    <w:basedOn w:val="Normal"/>
    <w:rsid w:val="00796562"/>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796562"/>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796562"/>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796562"/>
    <w:rPr>
      <w:rFonts w:ascii="Arial" w:hAnsi="Arial"/>
      <w:b/>
      <w:noProof/>
      <w:szCs w:val="24"/>
      <w:lang w:eastAsia="en-AU"/>
    </w:rPr>
  </w:style>
  <w:style w:type="paragraph" w:customStyle="1" w:styleId="FSCoParaMark">
    <w:name w:val="FSC_o_Para_Mark"/>
    <w:basedOn w:val="Normal"/>
    <w:next w:val="Normal"/>
    <w:qFormat/>
    <w:rsid w:val="00796562"/>
    <w:pPr>
      <w:widowControl/>
    </w:pPr>
    <w:rPr>
      <w:sz w:val="16"/>
      <w:lang w:eastAsia="en-AU" w:bidi="ar-SA"/>
    </w:rPr>
  </w:style>
  <w:style w:type="paragraph" w:customStyle="1" w:styleId="FSCoStandardEnd">
    <w:name w:val="FSC_o_Standard_End"/>
    <w:basedOn w:val="FSCtMain"/>
    <w:qFormat/>
    <w:rsid w:val="00796562"/>
    <w:pPr>
      <w:spacing w:before="240" w:after="0"/>
      <w:jc w:val="center"/>
    </w:pPr>
    <w:rPr>
      <w:iCs w:val="0"/>
    </w:rPr>
  </w:style>
  <w:style w:type="paragraph" w:customStyle="1" w:styleId="FSCoTitleofInstrument">
    <w:name w:val="FSC_o_Title_of_Instrument"/>
    <w:basedOn w:val="Normal"/>
    <w:rsid w:val="00796562"/>
    <w:pPr>
      <w:widowControl/>
      <w:spacing w:before="200"/>
    </w:pPr>
    <w:rPr>
      <w:b/>
      <w:sz w:val="32"/>
      <w:lang w:eastAsia="en-AU" w:bidi="ar-SA"/>
    </w:rPr>
  </w:style>
  <w:style w:type="paragraph" w:customStyle="1" w:styleId="FSCoutChap">
    <w:name w:val="FSC_out_Chap"/>
    <w:basedOn w:val="FSCh4Div"/>
    <w:qFormat/>
    <w:rsid w:val="00796562"/>
    <w:pPr>
      <w:tabs>
        <w:tab w:val="left" w:pos="1701"/>
      </w:tabs>
      <w:spacing w:after="120"/>
      <w:ind w:left="3402" w:hanging="3402"/>
    </w:pPr>
  </w:style>
  <w:style w:type="paragraph" w:customStyle="1" w:styleId="FSCoutPart">
    <w:name w:val="FSC_out_Part"/>
    <w:basedOn w:val="FSCh5Section"/>
    <w:qFormat/>
    <w:rsid w:val="00796562"/>
    <w:pPr>
      <w:keepNext w:val="0"/>
      <w:tabs>
        <w:tab w:val="left" w:pos="1701"/>
      </w:tabs>
      <w:ind w:left="3402" w:hanging="3402"/>
    </w:pPr>
  </w:style>
  <w:style w:type="paragraph" w:customStyle="1" w:styleId="FSCoutStand">
    <w:name w:val="FSC_out_Stand"/>
    <w:basedOn w:val="FSCtMain"/>
    <w:qFormat/>
    <w:rsid w:val="00796562"/>
    <w:pPr>
      <w:tabs>
        <w:tab w:val="clear" w:pos="1134"/>
        <w:tab w:val="left" w:pos="1701"/>
      </w:tabs>
      <w:ind w:left="3402" w:hanging="3402"/>
    </w:pPr>
  </w:style>
  <w:style w:type="paragraph" w:customStyle="1" w:styleId="FSCtDefn">
    <w:name w:val="FSC_t_Defn"/>
    <w:basedOn w:val="FSCtMain"/>
    <w:rsid w:val="00796562"/>
    <w:pPr>
      <w:ind w:firstLine="0"/>
    </w:pPr>
  </w:style>
  <w:style w:type="paragraph" w:customStyle="1" w:styleId="FSCtblAddh1">
    <w:name w:val="FSC_tbl_Add_h1"/>
    <w:basedOn w:val="FSCh4Div"/>
    <w:rsid w:val="00796562"/>
    <w:pPr>
      <w:spacing w:before="120" w:after="120"/>
    </w:pPr>
    <w:rPr>
      <w:rFonts w:eastAsiaTheme="minorHAnsi"/>
      <w:sz w:val="20"/>
      <w:lang w:eastAsia="en-US"/>
    </w:rPr>
  </w:style>
  <w:style w:type="paragraph" w:customStyle="1" w:styleId="FSCtblAddh2">
    <w:name w:val="FSC_tbl_Add_h2"/>
    <w:basedOn w:val="FSCtblAddh1"/>
    <w:rsid w:val="00796562"/>
    <w:pPr>
      <w:spacing w:before="60" w:after="60"/>
    </w:pPr>
    <w:rPr>
      <w:i/>
    </w:rPr>
  </w:style>
  <w:style w:type="paragraph" w:customStyle="1" w:styleId="FSCtblAddh3">
    <w:name w:val="FSC_tbl_Add_h3"/>
    <w:basedOn w:val="Normal"/>
    <w:rsid w:val="00796562"/>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796562"/>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796562"/>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796562"/>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796562"/>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796562"/>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796562"/>
    <w:pPr>
      <w:widowControl/>
      <w:ind w:left="113" w:hanging="113"/>
    </w:pPr>
    <w:rPr>
      <w:bCs/>
      <w:sz w:val="16"/>
      <w:szCs w:val="20"/>
      <w:lang w:bidi="ar-SA"/>
    </w:rPr>
  </w:style>
  <w:style w:type="paragraph" w:customStyle="1" w:styleId="FSCtblh2">
    <w:name w:val="FSC_tbl_h2"/>
    <w:basedOn w:val="Normal"/>
    <w:qFormat/>
    <w:rsid w:val="00796562"/>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796562"/>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796562"/>
    <w:pPr>
      <w:keepNext/>
      <w:keepLines/>
      <w:widowControl/>
      <w:spacing w:before="60" w:after="60"/>
    </w:pPr>
    <w:rPr>
      <w:rFonts w:cs="Arial"/>
      <w:i/>
      <w:sz w:val="18"/>
      <w:szCs w:val="22"/>
      <w:lang w:eastAsia="en-AU" w:bidi="ar-SA"/>
    </w:rPr>
  </w:style>
  <w:style w:type="paragraph" w:customStyle="1" w:styleId="FSCtblMain">
    <w:name w:val="FSC_tbl_Main"/>
    <w:basedOn w:val="Normal"/>
    <w:rsid w:val="00796562"/>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796562"/>
    <w:pPr>
      <w:jc w:val="center"/>
    </w:pPr>
    <w:rPr>
      <w:rFonts w:eastAsiaTheme="minorHAnsi"/>
      <w:lang w:eastAsia="en-US"/>
    </w:rPr>
  </w:style>
  <w:style w:type="paragraph" w:customStyle="1" w:styleId="FSCtblMainRH">
    <w:name w:val="FSC_tbl_Main_RH"/>
    <w:basedOn w:val="FSCtblMain"/>
    <w:qFormat/>
    <w:rsid w:val="00796562"/>
    <w:pPr>
      <w:jc w:val="right"/>
    </w:pPr>
    <w:rPr>
      <w:rFonts w:eastAsiaTheme="minorHAnsi"/>
      <w:lang w:eastAsia="en-US"/>
    </w:rPr>
  </w:style>
  <w:style w:type="paragraph" w:customStyle="1" w:styleId="FSCtblMRL1">
    <w:name w:val="FSC_tbl_MRL1"/>
    <w:basedOn w:val="Normal"/>
    <w:rsid w:val="00796562"/>
    <w:pPr>
      <w:keepLines/>
      <w:widowControl/>
      <w:spacing w:before="20" w:after="20"/>
    </w:pPr>
    <w:rPr>
      <w:rFonts w:cs="Arial"/>
      <w:sz w:val="18"/>
      <w:szCs w:val="20"/>
      <w:lang w:eastAsia="en-AU" w:bidi="ar-SA"/>
    </w:rPr>
  </w:style>
  <w:style w:type="paragraph" w:customStyle="1" w:styleId="FSCtblMRL2">
    <w:name w:val="FSC_tbl_MRL2"/>
    <w:basedOn w:val="FSCtblMRL1"/>
    <w:qFormat/>
    <w:rsid w:val="00796562"/>
    <w:pPr>
      <w:jc w:val="right"/>
    </w:pPr>
    <w:rPr>
      <w:rFonts w:eastAsiaTheme="minorHAnsi"/>
      <w:lang w:eastAsia="en-US"/>
    </w:rPr>
  </w:style>
  <w:style w:type="paragraph" w:customStyle="1" w:styleId="FSCtblPara">
    <w:name w:val="FSC_tbl_Para"/>
    <w:basedOn w:val="Normal"/>
    <w:rsid w:val="00796562"/>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796562"/>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Arial" w:hAnsi="Arial"/>
      <w:lang w:eastAsia="en-US" w:bidi="en-US"/>
    </w:rPr>
  </w:style>
  <w:style w:type="character" w:customStyle="1" w:styleId="normaltextrun">
    <w:name w:val="normaltextrun"/>
    <w:basedOn w:val="DefaultParagraphFont"/>
    <w:rsid w:val="00767EE7"/>
  </w:style>
  <w:style w:type="character" w:customStyle="1" w:styleId="FootnoteTextChar">
    <w:name w:val="Footnote Text Char"/>
    <w:aliases w:val="Footnotes Text Char,FSFootnotes Text Char,FSFootnote Text Char"/>
    <w:basedOn w:val="DefaultParagraphFont"/>
    <w:link w:val="FootnoteText"/>
    <w:uiPriority w:val="5"/>
    <w:rsid w:val="00767EE7"/>
    <w:rPr>
      <w:rFonts w:ascii="Arial" w:hAnsi="Arial"/>
      <w:lang w:eastAsia="en-US" w:bidi="en-US"/>
    </w:rPr>
  </w:style>
  <w:style w:type="paragraph" w:styleId="ListParagraph">
    <w:name w:val="List Paragraph"/>
    <w:basedOn w:val="Normal"/>
    <w:uiPriority w:val="34"/>
    <w:qFormat/>
    <w:rsid w:val="00767EE7"/>
    <w:pPr>
      <w:widowControl/>
      <w:spacing w:after="160" w:line="259" w:lineRule="auto"/>
      <w:ind w:left="720"/>
      <w:contextualSpacing/>
    </w:pPr>
    <w:rPr>
      <w:rFonts w:eastAsiaTheme="minorHAnsi" w:cs="Arial"/>
      <w:szCs w:val="22"/>
      <w:lang w:val="en-US" w:bidi="ar-SA"/>
    </w:rPr>
  </w:style>
  <w:style w:type="character" w:customStyle="1" w:styleId="eop">
    <w:name w:val="eop"/>
    <w:basedOn w:val="DefaultParagraphFont"/>
    <w:rsid w:val="00767EE7"/>
  </w:style>
  <w:style w:type="paragraph" w:styleId="CommentSubject">
    <w:name w:val="annotation subject"/>
    <w:basedOn w:val="CommentText"/>
    <w:next w:val="CommentText"/>
    <w:link w:val="CommentSubjectChar"/>
    <w:semiHidden/>
    <w:unhideWhenUsed/>
    <w:rsid w:val="00767EE7"/>
    <w:rPr>
      <w:b/>
      <w:bCs/>
    </w:rPr>
  </w:style>
  <w:style w:type="character" w:customStyle="1" w:styleId="CommentSubjectChar">
    <w:name w:val="Comment Subject Char"/>
    <w:basedOn w:val="CommentTextChar"/>
    <w:link w:val="CommentSubject"/>
    <w:semiHidden/>
    <w:rsid w:val="00767EE7"/>
    <w:rPr>
      <w:rFonts w:ascii="Arial" w:hAnsi="Arial"/>
      <w:b/>
      <w:bCs/>
      <w:lang w:eastAsia="en-US" w:bidi="en-US"/>
    </w:rPr>
  </w:style>
  <w:style w:type="character" w:styleId="Mention">
    <w:name w:val="Mention"/>
    <w:basedOn w:val="DefaultParagraphFont"/>
    <w:uiPriority w:val="99"/>
    <w:unhideWhenUsed/>
    <w:rsid w:val="00767EE7"/>
    <w:rPr>
      <w:color w:val="2B579A"/>
      <w:shd w:val="clear" w:color="auto" w:fill="E1DFDD"/>
    </w:rPr>
  </w:style>
  <w:style w:type="paragraph" w:customStyle="1" w:styleId="paragraph">
    <w:name w:val="paragraph"/>
    <w:basedOn w:val="Normal"/>
    <w:rsid w:val="00642885"/>
    <w:pPr>
      <w:widowControl/>
      <w:spacing w:before="100" w:beforeAutospacing="1" w:after="100" w:afterAutospacing="1"/>
    </w:pPr>
    <w:rPr>
      <w:rFonts w:ascii="Times New Roman" w:hAnsi="Times New Roman"/>
      <w:sz w:val="24"/>
      <w:lang w:val="en-AU" w:eastAsia="en-AU" w:bidi="ar-SA"/>
    </w:rPr>
  </w:style>
  <w:style w:type="paragraph" w:customStyle="1" w:styleId="fscnmain0">
    <w:name w:val="fscnmain"/>
    <w:basedOn w:val="Normal"/>
    <w:rsid w:val="00196A84"/>
    <w:pPr>
      <w:widowControl/>
      <w:spacing w:before="100" w:beforeAutospacing="1" w:after="100" w:afterAutospacing="1"/>
    </w:pPr>
    <w:rPr>
      <w:rFonts w:ascii="Times New Roman" w:hAnsi="Times New Roman"/>
      <w:sz w:val="24"/>
      <w:lang w:val="en-NZ" w:eastAsia="en-NZ" w:bidi="ar-SA"/>
    </w:rPr>
  </w:style>
  <w:style w:type="table" w:customStyle="1" w:styleId="TableGrid1">
    <w:name w:val="Table Grid1"/>
    <w:basedOn w:val="TableNormal"/>
    <w:next w:val="TableGrid"/>
    <w:uiPriority w:val="59"/>
    <w:rsid w:val="00196A84"/>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55ACB"/>
    <w:rPr>
      <w:color w:val="605E5C"/>
      <w:shd w:val="clear" w:color="auto" w:fill="E1DFDD"/>
    </w:rPr>
  </w:style>
  <w:style w:type="paragraph" w:styleId="Revision">
    <w:name w:val="Revision"/>
    <w:hidden/>
    <w:uiPriority w:val="99"/>
    <w:semiHidden/>
    <w:rsid w:val="0047034F"/>
    <w:rPr>
      <w:rFonts w:ascii="Arial" w:hAnsi="Arial"/>
      <w:sz w:val="22"/>
      <w:szCs w:val="24"/>
      <w:lang w:eastAsia="en-US" w:bidi="en-US"/>
    </w:rPr>
  </w:style>
  <w:style w:type="character" w:customStyle="1" w:styleId="cf01">
    <w:name w:val="cf01"/>
    <w:basedOn w:val="DefaultParagraphFont"/>
    <w:rsid w:val="003E2372"/>
    <w:rPr>
      <w:rFonts w:ascii="Segoe UI" w:hAnsi="Segoe UI" w:cs="Segoe UI" w:hint="default"/>
      <w:sz w:val="18"/>
      <w:szCs w:val="18"/>
    </w:rPr>
  </w:style>
  <w:style w:type="character" w:customStyle="1" w:styleId="cf11">
    <w:name w:val="cf11"/>
    <w:basedOn w:val="DefaultParagraphFont"/>
    <w:rsid w:val="003E2372"/>
    <w:rPr>
      <w:rFonts w:ascii="Segoe UI" w:hAnsi="Segoe UI" w:cs="Segoe UI" w:hint="default"/>
      <w:i/>
      <w:iCs/>
      <w:sz w:val="18"/>
      <w:szCs w:val="18"/>
      <w:u w:val="single"/>
    </w:rPr>
  </w:style>
  <w:style w:type="paragraph" w:customStyle="1" w:styleId="pf0">
    <w:name w:val="pf0"/>
    <w:basedOn w:val="Normal"/>
    <w:rsid w:val="009D5627"/>
    <w:pPr>
      <w:widowControl/>
      <w:spacing w:before="100" w:beforeAutospacing="1" w:after="100" w:afterAutospacing="1"/>
    </w:pPr>
    <w:rPr>
      <w:rFonts w:ascii="Times New Roman" w:hAnsi="Times New Roman"/>
      <w:sz w:val="24"/>
      <w:lang w:val="en-AU" w:eastAsia="en-AU" w:bidi="ar-SA"/>
    </w:rPr>
  </w:style>
  <w:style w:type="character" w:customStyle="1" w:styleId="cf31">
    <w:name w:val="cf31"/>
    <w:basedOn w:val="DefaultParagraphFont"/>
    <w:rsid w:val="009D5627"/>
    <w:rPr>
      <w:rFonts w:ascii="Segoe UI" w:hAnsi="Segoe UI" w:cs="Segoe UI" w:hint="default"/>
      <w:sz w:val="18"/>
      <w:szCs w:val="18"/>
    </w:rPr>
  </w:style>
  <w:style w:type="paragraph" w:styleId="NormalWeb">
    <w:name w:val="Normal (Web)"/>
    <w:basedOn w:val="Normal"/>
    <w:uiPriority w:val="99"/>
    <w:semiHidden/>
    <w:unhideWhenUsed/>
    <w:rsid w:val="009D5627"/>
    <w:pPr>
      <w:widowControl/>
      <w:spacing w:before="100" w:beforeAutospacing="1" w:after="100" w:afterAutospacing="1"/>
    </w:pPr>
    <w:rPr>
      <w:rFonts w:ascii="Times New Roman" w:hAnsi="Times New Roman"/>
      <w:sz w:val="24"/>
      <w:lang w:val="en-AU" w:eastAsia="en-AU" w:bidi="ar-SA"/>
    </w:rPr>
  </w:style>
  <w:style w:type="character" w:customStyle="1" w:styleId="cf21">
    <w:name w:val="cf21"/>
    <w:basedOn w:val="DefaultParagraphFont"/>
    <w:rsid w:val="00A5488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454086">
      <w:bodyDiv w:val="1"/>
      <w:marLeft w:val="0"/>
      <w:marRight w:val="0"/>
      <w:marTop w:val="0"/>
      <w:marBottom w:val="0"/>
      <w:divBdr>
        <w:top w:val="none" w:sz="0" w:space="0" w:color="auto"/>
        <w:left w:val="none" w:sz="0" w:space="0" w:color="auto"/>
        <w:bottom w:val="none" w:sz="0" w:space="0" w:color="auto"/>
        <w:right w:val="none" w:sz="0" w:space="0" w:color="auto"/>
      </w:divBdr>
    </w:div>
    <w:div w:id="350766502">
      <w:bodyDiv w:val="1"/>
      <w:marLeft w:val="0"/>
      <w:marRight w:val="0"/>
      <w:marTop w:val="0"/>
      <w:marBottom w:val="0"/>
      <w:divBdr>
        <w:top w:val="none" w:sz="0" w:space="0" w:color="auto"/>
        <w:left w:val="none" w:sz="0" w:space="0" w:color="auto"/>
        <w:bottom w:val="none" w:sz="0" w:space="0" w:color="auto"/>
        <w:right w:val="none" w:sz="0" w:space="0" w:color="auto"/>
      </w:divBdr>
    </w:div>
    <w:div w:id="553547289">
      <w:bodyDiv w:val="1"/>
      <w:marLeft w:val="0"/>
      <w:marRight w:val="0"/>
      <w:marTop w:val="0"/>
      <w:marBottom w:val="0"/>
      <w:divBdr>
        <w:top w:val="none" w:sz="0" w:space="0" w:color="auto"/>
        <w:left w:val="none" w:sz="0" w:space="0" w:color="auto"/>
        <w:bottom w:val="none" w:sz="0" w:space="0" w:color="auto"/>
        <w:right w:val="none" w:sz="0" w:space="0" w:color="auto"/>
      </w:divBdr>
    </w:div>
    <w:div w:id="1199004303">
      <w:bodyDiv w:val="1"/>
      <w:marLeft w:val="0"/>
      <w:marRight w:val="0"/>
      <w:marTop w:val="0"/>
      <w:marBottom w:val="0"/>
      <w:divBdr>
        <w:top w:val="none" w:sz="0" w:space="0" w:color="auto"/>
        <w:left w:val="none" w:sz="0" w:space="0" w:color="auto"/>
        <w:bottom w:val="none" w:sz="0" w:space="0" w:color="auto"/>
        <w:right w:val="none" w:sz="0" w:space="0" w:color="auto"/>
      </w:divBdr>
    </w:div>
    <w:div w:id="1506749527">
      <w:bodyDiv w:val="1"/>
      <w:marLeft w:val="0"/>
      <w:marRight w:val="0"/>
      <w:marTop w:val="0"/>
      <w:marBottom w:val="0"/>
      <w:divBdr>
        <w:top w:val="none" w:sz="0" w:space="0" w:color="auto"/>
        <w:left w:val="none" w:sz="0" w:space="0" w:color="auto"/>
        <w:bottom w:val="none" w:sz="0" w:space="0" w:color="auto"/>
        <w:right w:val="none" w:sz="0" w:space="0" w:color="auto"/>
      </w:divBdr>
    </w:div>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 w:id="206598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8.austlii.edu.au/cgi-bin/viewdoc/au/legis/cth/consol_act/fsanza1991336/s4.html"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8.austlii.edu.au/cgi-bin/viewdoc/au/legis/cth/consol_act/fsanza1991336/s4.htm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8.austlii.edu.au/cgi-bin/viewdoc/au/legis/cth/consol_act/fsanza1991336/s4.html"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www8.austlii.edu.au/cgi-bin/viewdoc/au/legis/cth/consol_act/fsanza1991336/s4.html" TargetMode="External"/><Relationship Id="rId10" Type="http://schemas.openxmlformats.org/officeDocument/2006/relationships/webSettings" Target="webSettings.xml"/><Relationship Id="rId19" Type="http://schemas.openxmlformats.org/officeDocument/2006/relationships/footer" Target="footer3.xml"/><Relationship Id="rId27" Type="http://schemas.microsoft.com/office/2020/10/relationships/intelligence" Target="intelligence2.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www8.austlii.edu.au/cgi-bin/viewdoc/au/legis/cth/consol_act/fsanza1991336/s4.htm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eur-lex.europa.eu/LexUriServ/LexUriServ.do?uri=CONSLEG:2006R1925:20091221:EN:PDF" TargetMode="External"/><Relationship Id="rId13" Type="http://schemas.openxmlformats.org/officeDocument/2006/relationships/hyperlink" Target="https://eur-lex.europa.eu/legal-content/EN/ALL/?uri=CELEX%3A32011R1169" TargetMode="External"/><Relationship Id="rId18" Type="http://schemas.openxmlformats.org/officeDocument/2006/relationships/hyperlink" Target="https://www.sfa.gov.sg/docs/default-source/legislation/sale-of-food-act/food_regulations.pdf" TargetMode="External"/><Relationship Id="rId3" Type="http://schemas.openxmlformats.org/officeDocument/2006/relationships/hyperlink" Target="https://www.tga.gov.au/food-medicine-interface-guidance-tool-fmigt-0" TargetMode="External"/><Relationship Id="rId21" Type="http://schemas.openxmlformats.org/officeDocument/2006/relationships/hyperlink" Target="https://www.cmaustralia.org.au/resources/CMA-industry-presentation-2020.pdf" TargetMode="External"/><Relationship Id="rId7" Type="http://schemas.openxmlformats.org/officeDocument/2006/relationships/hyperlink" Target="https://ec.europa.eu/transparency/documents-register/detail?ref=COM(2016)402&amp;lang=en" TargetMode="External"/><Relationship Id="rId12" Type="http://schemas.openxmlformats.org/officeDocument/2006/relationships/hyperlink" Target="http://eur-lex.europa.eu/LexUriServ/LexUriServ.do?uri=CONSLEG:2006R1925:20091221:EN:PDF" TargetMode="External"/><Relationship Id="rId17" Type="http://schemas.openxmlformats.org/officeDocument/2006/relationships/hyperlink" Target="https://webprod.hc-sc.gc.ca/nhpid-bdipsn/atReq.do?atid=workout.supplements.entrainement&amp;h" TargetMode="External"/><Relationship Id="rId2" Type="http://schemas.openxmlformats.org/officeDocument/2006/relationships/hyperlink" Target="https://www.mpi.govt.nz/dmsdocument/13092-draft-supplemented-food-standard-user-guide" TargetMode="External"/><Relationship Id="rId16" Type="http://schemas.openxmlformats.org/officeDocument/2006/relationships/hyperlink" Target="https://www.fda.gov/food/dietary-supplement-products-ingredients/dietary-supplement-ingredient-advisory-list" TargetMode="External"/><Relationship Id="rId20" Type="http://schemas.openxmlformats.org/officeDocument/2006/relationships/hyperlink" Target="https://www.nutritionaloutlook.com/view/sports-nutrition-expanding-across-consumers-categories-and-positionings" TargetMode="External"/><Relationship Id="rId1" Type="http://schemas.openxmlformats.org/officeDocument/2006/relationships/hyperlink" Target="https://www.foodstandards.gov.au/code/changes/pages/applicationshandbook.aspx" TargetMode="External"/><Relationship Id="rId6" Type="http://schemas.openxmlformats.org/officeDocument/2006/relationships/hyperlink" Target="https://www.fao.org/fao-who-codexalimentarius/sh-proxy/en/?lnk=1&amp;url=https%253A%252F%252Fworkspace.fao.org%252Fsites%252Fcodex%252FStandards%252FCXG%2B9-1987%252FCXG_009e_2015.pdf" TargetMode="External"/><Relationship Id="rId11" Type="http://schemas.openxmlformats.org/officeDocument/2006/relationships/hyperlink" Target="https://food.ec.europa.eu/safety/labelling-and-nutrition/addition-vitamins-and-minerals_en" TargetMode="External"/><Relationship Id="rId5" Type="http://schemas.openxmlformats.org/officeDocument/2006/relationships/hyperlink" Target="https://www.canada.ca/content/dam/hc-sc/migration/hc-sc/fn-an/alt_formats/hpfb-dgpsa/pdf/intactivit/vit_min_sup-eng.pdf" TargetMode="External"/><Relationship Id="rId15" Type="http://schemas.openxmlformats.org/officeDocument/2006/relationships/hyperlink" Target="https://www.fda.gov/food/dietary-supplements/dietary-supplement-products-ingredients" TargetMode="External"/><Relationship Id="rId10" Type="http://schemas.openxmlformats.org/officeDocument/2006/relationships/hyperlink" Target="http://eur-lex.europa.eu/LexUriServ/LexUriServ.do?uri=OJ:L:2006:404:0009:0025:EN:PDF" TargetMode="External"/><Relationship Id="rId19" Type="http://schemas.openxmlformats.org/officeDocument/2006/relationships/hyperlink" Target="http://www.bccresearch.com/report/FOD043A.html" TargetMode="External"/><Relationship Id="rId4" Type="http://schemas.openxmlformats.org/officeDocument/2006/relationships/hyperlink" Target="https://foodregulation.gov.au/internet/fr/publishing.nsf/Content/8809C2329ABEFD18CA25801B00100EAA/$File/Policy%20Guideline-Part%202.9%20of%20the%20Code-Special%20Purpose%20Foods.pdf" TargetMode="External"/><Relationship Id="rId9" Type="http://schemas.openxmlformats.org/officeDocument/2006/relationships/hyperlink" Target="https://eur-lex.europa.eu/legal-content/EN/ALL/?uri=CELEX%3A32011R1169" TargetMode="External"/><Relationship Id="rId14" Type="http://schemas.openxmlformats.org/officeDocument/2006/relationships/hyperlink" Target="https://aus01.safelinks.protection.outlook.com/?url=https%3A%2F%2Feur-lex.europa.eu%2Flegal-content%2FEN%2FTXT%2FPDF%2F%3Furi%3DCELEX%3A32015R2283%26from%3DEN&amp;data=05%7C01%7CZoe.Morosini%40foodstandards.gov.au%7Cb7fa7ab7348c470832e008dad0d202a7%7C6deea5ad8e7945b888fe895f2bb48673%7C0%7C0%7C638051897648527219%7CUnknown%7CTWFpbGZsb3d8eyJWIjoiMC4wLjAwMDAiLCJQIjoiV2luMzIiLCJBTiI6Ik1haWwiLCJXVCI6Mn0%3D%7C3000%7C%7C%7C&amp;sdata=19Q%2B%2FM9I92hQpu52q%2FAPyJxEvm99z2zpW376LFhjnLM%3D&amp;reserved=0" TargetMode="External"/><Relationship Id="rId22" Type="http://schemas.openxmlformats.org/officeDocument/2006/relationships/hyperlink" Target="https://www.foodstandards.gov.au/code/changes/pages/applicationshandbook.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foodstandardsgovau.sharepoint.com/sites/Branding/Templates/Standards%20Management/Reports%20SDs%20and%20App%20Handbook%20Checklists/Report%20supporting%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haredWithUsers xmlns="dae2aec2-5ad0-4d76-aa7b-990c9a14db5a">
      <UserInfo>
        <DisplayName>Zoe Morosini</DisplayName>
        <AccountId>34</AccountId>
        <AccountType/>
      </UserInfo>
      <UserInfo>
        <DisplayName>Emma Breen</DisplayName>
        <AccountId>18</AccountId>
        <AccountType/>
      </UserInfo>
      <UserInfo>
        <DisplayName>Michelle Kennedy</DisplayName>
        <AccountId>25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isl xmlns:xsd="http://www.w3.org/2001/XMLSchema" xmlns:xsi="http://www.w3.org/2001/XMLSchema-instance" xmlns="http://www.boldonjames.com/2008/01/sie/internal/label" sislVersion="0" policy="1865c0a7-d648-4a74-80fe-fa9dc7fe13cc" origin="defaultValue">
  <element uid="dd6c74cc-0de9-4a0a-85ef-439e2ceecf74" value=""/>
</sisl>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D3D39-C68E-4A3D-BC95-191B72BCE665}"/>
</file>

<file path=customXml/itemProps2.xml><?xml version="1.0" encoding="utf-8"?>
<ds:datastoreItem xmlns:ds="http://schemas.openxmlformats.org/officeDocument/2006/customXml" ds:itemID="{731C1323-4DEB-4F0C-B760-ECD75EA24DBA}"/>
</file>

<file path=customXml/itemProps3.xml><?xml version="1.0" encoding="utf-8"?>
<ds:datastoreItem xmlns:ds="http://schemas.openxmlformats.org/officeDocument/2006/customXml" ds:itemID="{096D1BD7-D22D-434F-818F-7E9E7F0BE2F9}"/>
</file>

<file path=customXml/itemProps4.xml><?xml version="1.0" encoding="utf-8"?>
<ds:datastoreItem xmlns:ds="http://schemas.openxmlformats.org/officeDocument/2006/customXml" ds:itemID="{D30C28D0-D21B-4D1D-9DD1-FC258B7070DC}">
  <ds:schemaRefs>
    <ds:schemaRef ds:uri="http://schemas.openxmlformats.org/officeDocument/2006/bibliography"/>
  </ds:schemaRefs>
</ds:datastoreItem>
</file>

<file path=customXml/itemProps5.xml><?xml version="1.0" encoding="utf-8"?>
<ds:datastoreItem xmlns:ds="http://schemas.openxmlformats.org/officeDocument/2006/customXml" ds:itemID="{6B9F99AB-93EA-4038-B9E1-14F17BF30B41}"/>
</file>

<file path=customXml/itemProps6.xml><?xml version="1.0" encoding="utf-8"?>
<ds:datastoreItem xmlns:ds="http://schemas.openxmlformats.org/officeDocument/2006/customXml" ds:itemID="{D30C28D0-D21B-4D1D-9DD1-FC258B7070DC}"/>
</file>

<file path=docProps/app.xml><?xml version="1.0" encoding="utf-8"?>
<Properties xmlns="http://schemas.openxmlformats.org/officeDocument/2006/extended-properties" xmlns:vt="http://schemas.openxmlformats.org/officeDocument/2006/docPropsVTypes">
  <Template>Report%20supporting%20document</Template>
  <TotalTime>1</TotalTime>
  <Pages>29</Pages>
  <Words>12431</Words>
  <Characters>70863</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83128</CharactersWithSpaces>
  <SharedDoc>false</SharedDoc>
  <HLinks>
    <vt:vector size="498" baseType="variant">
      <vt:variant>
        <vt:i4>1507447</vt:i4>
      </vt:variant>
      <vt:variant>
        <vt:i4>351</vt:i4>
      </vt:variant>
      <vt:variant>
        <vt:i4>0</vt:i4>
      </vt:variant>
      <vt:variant>
        <vt:i4>5</vt:i4>
      </vt:variant>
      <vt:variant>
        <vt:lpwstr>http://www8.austlii.edu.au/cgi-bin/viewdoc/au/legis/cth/consol_act/fsanza1991336/s4.html</vt:lpwstr>
      </vt:variant>
      <vt:variant>
        <vt:lpwstr>standard</vt:lpwstr>
      </vt:variant>
      <vt:variant>
        <vt:i4>6750221</vt:i4>
      </vt:variant>
      <vt:variant>
        <vt:i4>348</vt:i4>
      </vt:variant>
      <vt:variant>
        <vt:i4>0</vt:i4>
      </vt:variant>
      <vt:variant>
        <vt:i4>5</vt:i4>
      </vt:variant>
      <vt:variant>
        <vt:lpwstr>http://www8.austlii.edu.au/cgi-bin/viewdoc/au/legis/cth/consol_act/fsanza1991336/s4.html</vt:lpwstr>
      </vt:variant>
      <vt:variant>
        <vt:lpwstr>develop</vt:lpwstr>
      </vt:variant>
      <vt:variant>
        <vt:i4>4653115</vt:i4>
      </vt:variant>
      <vt:variant>
        <vt:i4>345</vt:i4>
      </vt:variant>
      <vt:variant>
        <vt:i4>0</vt:i4>
      </vt:variant>
      <vt:variant>
        <vt:i4>5</vt:i4>
      </vt:variant>
      <vt:variant>
        <vt:lpwstr>http://www8.austlii.edu.au/cgi-bin/viewdoc/au/legis/cth/consol_act/fsanza1991336/s4.html</vt:lpwstr>
      </vt:variant>
      <vt:variant>
        <vt:lpwstr>food_regulatory_measure</vt:lpwstr>
      </vt:variant>
      <vt:variant>
        <vt:i4>4653115</vt:i4>
      </vt:variant>
      <vt:variant>
        <vt:i4>342</vt:i4>
      </vt:variant>
      <vt:variant>
        <vt:i4>0</vt:i4>
      </vt:variant>
      <vt:variant>
        <vt:i4>5</vt:i4>
      </vt:variant>
      <vt:variant>
        <vt:lpwstr>http://www8.austlii.edu.au/cgi-bin/viewdoc/au/legis/cth/consol_act/fsanza1991336/s4.html</vt:lpwstr>
      </vt:variant>
      <vt:variant>
        <vt:lpwstr>food_regulatory_measure</vt:lpwstr>
      </vt:variant>
      <vt:variant>
        <vt:i4>6750221</vt:i4>
      </vt:variant>
      <vt:variant>
        <vt:i4>339</vt:i4>
      </vt:variant>
      <vt:variant>
        <vt:i4>0</vt:i4>
      </vt:variant>
      <vt:variant>
        <vt:i4>5</vt:i4>
      </vt:variant>
      <vt:variant>
        <vt:lpwstr>http://www8.austlii.edu.au/cgi-bin/viewdoc/au/legis/cth/consol_act/fsanza1991336/s4.html</vt:lpwstr>
      </vt:variant>
      <vt:variant>
        <vt:lpwstr>develop</vt:lpwstr>
      </vt:variant>
      <vt:variant>
        <vt:i4>1179697</vt:i4>
      </vt:variant>
      <vt:variant>
        <vt:i4>332</vt:i4>
      </vt:variant>
      <vt:variant>
        <vt:i4>0</vt:i4>
      </vt:variant>
      <vt:variant>
        <vt:i4>5</vt:i4>
      </vt:variant>
      <vt:variant>
        <vt:lpwstr/>
      </vt:variant>
      <vt:variant>
        <vt:lpwstr>_Toc122602239</vt:lpwstr>
      </vt:variant>
      <vt:variant>
        <vt:i4>1179697</vt:i4>
      </vt:variant>
      <vt:variant>
        <vt:i4>326</vt:i4>
      </vt:variant>
      <vt:variant>
        <vt:i4>0</vt:i4>
      </vt:variant>
      <vt:variant>
        <vt:i4>5</vt:i4>
      </vt:variant>
      <vt:variant>
        <vt:lpwstr/>
      </vt:variant>
      <vt:variant>
        <vt:lpwstr>_Toc122602238</vt:lpwstr>
      </vt:variant>
      <vt:variant>
        <vt:i4>1179697</vt:i4>
      </vt:variant>
      <vt:variant>
        <vt:i4>320</vt:i4>
      </vt:variant>
      <vt:variant>
        <vt:i4>0</vt:i4>
      </vt:variant>
      <vt:variant>
        <vt:i4>5</vt:i4>
      </vt:variant>
      <vt:variant>
        <vt:lpwstr/>
      </vt:variant>
      <vt:variant>
        <vt:lpwstr>_Toc122602237</vt:lpwstr>
      </vt:variant>
      <vt:variant>
        <vt:i4>1179697</vt:i4>
      </vt:variant>
      <vt:variant>
        <vt:i4>314</vt:i4>
      </vt:variant>
      <vt:variant>
        <vt:i4>0</vt:i4>
      </vt:variant>
      <vt:variant>
        <vt:i4>5</vt:i4>
      </vt:variant>
      <vt:variant>
        <vt:lpwstr/>
      </vt:variant>
      <vt:variant>
        <vt:lpwstr>_Toc122602236</vt:lpwstr>
      </vt:variant>
      <vt:variant>
        <vt:i4>1179697</vt:i4>
      </vt:variant>
      <vt:variant>
        <vt:i4>308</vt:i4>
      </vt:variant>
      <vt:variant>
        <vt:i4>0</vt:i4>
      </vt:variant>
      <vt:variant>
        <vt:i4>5</vt:i4>
      </vt:variant>
      <vt:variant>
        <vt:lpwstr/>
      </vt:variant>
      <vt:variant>
        <vt:lpwstr>_Toc122602235</vt:lpwstr>
      </vt:variant>
      <vt:variant>
        <vt:i4>1179697</vt:i4>
      </vt:variant>
      <vt:variant>
        <vt:i4>302</vt:i4>
      </vt:variant>
      <vt:variant>
        <vt:i4>0</vt:i4>
      </vt:variant>
      <vt:variant>
        <vt:i4>5</vt:i4>
      </vt:variant>
      <vt:variant>
        <vt:lpwstr/>
      </vt:variant>
      <vt:variant>
        <vt:lpwstr>_Toc122602234</vt:lpwstr>
      </vt:variant>
      <vt:variant>
        <vt:i4>1179697</vt:i4>
      </vt:variant>
      <vt:variant>
        <vt:i4>296</vt:i4>
      </vt:variant>
      <vt:variant>
        <vt:i4>0</vt:i4>
      </vt:variant>
      <vt:variant>
        <vt:i4>5</vt:i4>
      </vt:variant>
      <vt:variant>
        <vt:lpwstr/>
      </vt:variant>
      <vt:variant>
        <vt:lpwstr>_Toc122602233</vt:lpwstr>
      </vt:variant>
      <vt:variant>
        <vt:i4>1179697</vt:i4>
      </vt:variant>
      <vt:variant>
        <vt:i4>290</vt:i4>
      </vt:variant>
      <vt:variant>
        <vt:i4>0</vt:i4>
      </vt:variant>
      <vt:variant>
        <vt:i4>5</vt:i4>
      </vt:variant>
      <vt:variant>
        <vt:lpwstr/>
      </vt:variant>
      <vt:variant>
        <vt:lpwstr>_Toc122602232</vt:lpwstr>
      </vt:variant>
      <vt:variant>
        <vt:i4>1179697</vt:i4>
      </vt:variant>
      <vt:variant>
        <vt:i4>284</vt:i4>
      </vt:variant>
      <vt:variant>
        <vt:i4>0</vt:i4>
      </vt:variant>
      <vt:variant>
        <vt:i4>5</vt:i4>
      </vt:variant>
      <vt:variant>
        <vt:lpwstr/>
      </vt:variant>
      <vt:variant>
        <vt:lpwstr>_Toc122602231</vt:lpwstr>
      </vt:variant>
      <vt:variant>
        <vt:i4>1179697</vt:i4>
      </vt:variant>
      <vt:variant>
        <vt:i4>278</vt:i4>
      </vt:variant>
      <vt:variant>
        <vt:i4>0</vt:i4>
      </vt:variant>
      <vt:variant>
        <vt:i4>5</vt:i4>
      </vt:variant>
      <vt:variant>
        <vt:lpwstr/>
      </vt:variant>
      <vt:variant>
        <vt:lpwstr>_Toc122602230</vt:lpwstr>
      </vt:variant>
      <vt:variant>
        <vt:i4>1245233</vt:i4>
      </vt:variant>
      <vt:variant>
        <vt:i4>272</vt:i4>
      </vt:variant>
      <vt:variant>
        <vt:i4>0</vt:i4>
      </vt:variant>
      <vt:variant>
        <vt:i4>5</vt:i4>
      </vt:variant>
      <vt:variant>
        <vt:lpwstr/>
      </vt:variant>
      <vt:variant>
        <vt:lpwstr>_Toc122602229</vt:lpwstr>
      </vt:variant>
      <vt:variant>
        <vt:i4>1245233</vt:i4>
      </vt:variant>
      <vt:variant>
        <vt:i4>266</vt:i4>
      </vt:variant>
      <vt:variant>
        <vt:i4>0</vt:i4>
      </vt:variant>
      <vt:variant>
        <vt:i4>5</vt:i4>
      </vt:variant>
      <vt:variant>
        <vt:lpwstr/>
      </vt:variant>
      <vt:variant>
        <vt:lpwstr>_Toc122602228</vt:lpwstr>
      </vt:variant>
      <vt:variant>
        <vt:i4>1245233</vt:i4>
      </vt:variant>
      <vt:variant>
        <vt:i4>260</vt:i4>
      </vt:variant>
      <vt:variant>
        <vt:i4>0</vt:i4>
      </vt:variant>
      <vt:variant>
        <vt:i4>5</vt:i4>
      </vt:variant>
      <vt:variant>
        <vt:lpwstr/>
      </vt:variant>
      <vt:variant>
        <vt:lpwstr>_Toc122602227</vt:lpwstr>
      </vt:variant>
      <vt:variant>
        <vt:i4>1245233</vt:i4>
      </vt:variant>
      <vt:variant>
        <vt:i4>254</vt:i4>
      </vt:variant>
      <vt:variant>
        <vt:i4>0</vt:i4>
      </vt:variant>
      <vt:variant>
        <vt:i4>5</vt:i4>
      </vt:variant>
      <vt:variant>
        <vt:lpwstr/>
      </vt:variant>
      <vt:variant>
        <vt:lpwstr>_Toc122602226</vt:lpwstr>
      </vt:variant>
      <vt:variant>
        <vt:i4>1245233</vt:i4>
      </vt:variant>
      <vt:variant>
        <vt:i4>248</vt:i4>
      </vt:variant>
      <vt:variant>
        <vt:i4>0</vt:i4>
      </vt:variant>
      <vt:variant>
        <vt:i4>5</vt:i4>
      </vt:variant>
      <vt:variant>
        <vt:lpwstr/>
      </vt:variant>
      <vt:variant>
        <vt:lpwstr>_Toc122602225</vt:lpwstr>
      </vt:variant>
      <vt:variant>
        <vt:i4>1245233</vt:i4>
      </vt:variant>
      <vt:variant>
        <vt:i4>242</vt:i4>
      </vt:variant>
      <vt:variant>
        <vt:i4>0</vt:i4>
      </vt:variant>
      <vt:variant>
        <vt:i4>5</vt:i4>
      </vt:variant>
      <vt:variant>
        <vt:lpwstr/>
      </vt:variant>
      <vt:variant>
        <vt:lpwstr>_Toc122602224</vt:lpwstr>
      </vt:variant>
      <vt:variant>
        <vt:i4>1245233</vt:i4>
      </vt:variant>
      <vt:variant>
        <vt:i4>236</vt:i4>
      </vt:variant>
      <vt:variant>
        <vt:i4>0</vt:i4>
      </vt:variant>
      <vt:variant>
        <vt:i4>5</vt:i4>
      </vt:variant>
      <vt:variant>
        <vt:lpwstr/>
      </vt:variant>
      <vt:variant>
        <vt:lpwstr>_Toc122602223</vt:lpwstr>
      </vt:variant>
      <vt:variant>
        <vt:i4>1245233</vt:i4>
      </vt:variant>
      <vt:variant>
        <vt:i4>230</vt:i4>
      </vt:variant>
      <vt:variant>
        <vt:i4>0</vt:i4>
      </vt:variant>
      <vt:variant>
        <vt:i4>5</vt:i4>
      </vt:variant>
      <vt:variant>
        <vt:lpwstr/>
      </vt:variant>
      <vt:variant>
        <vt:lpwstr>_Toc122602222</vt:lpwstr>
      </vt:variant>
      <vt:variant>
        <vt:i4>1245233</vt:i4>
      </vt:variant>
      <vt:variant>
        <vt:i4>224</vt:i4>
      </vt:variant>
      <vt:variant>
        <vt:i4>0</vt:i4>
      </vt:variant>
      <vt:variant>
        <vt:i4>5</vt:i4>
      </vt:variant>
      <vt:variant>
        <vt:lpwstr/>
      </vt:variant>
      <vt:variant>
        <vt:lpwstr>_Toc122602221</vt:lpwstr>
      </vt:variant>
      <vt:variant>
        <vt:i4>1245233</vt:i4>
      </vt:variant>
      <vt:variant>
        <vt:i4>218</vt:i4>
      </vt:variant>
      <vt:variant>
        <vt:i4>0</vt:i4>
      </vt:variant>
      <vt:variant>
        <vt:i4>5</vt:i4>
      </vt:variant>
      <vt:variant>
        <vt:lpwstr/>
      </vt:variant>
      <vt:variant>
        <vt:lpwstr>_Toc122602220</vt:lpwstr>
      </vt:variant>
      <vt:variant>
        <vt:i4>1048625</vt:i4>
      </vt:variant>
      <vt:variant>
        <vt:i4>212</vt:i4>
      </vt:variant>
      <vt:variant>
        <vt:i4>0</vt:i4>
      </vt:variant>
      <vt:variant>
        <vt:i4>5</vt:i4>
      </vt:variant>
      <vt:variant>
        <vt:lpwstr/>
      </vt:variant>
      <vt:variant>
        <vt:lpwstr>_Toc122602219</vt:lpwstr>
      </vt:variant>
      <vt:variant>
        <vt:i4>1048625</vt:i4>
      </vt:variant>
      <vt:variant>
        <vt:i4>206</vt:i4>
      </vt:variant>
      <vt:variant>
        <vt:i4>0</vt:i4>
      </vt:variant>
      <vt:variant>
        <vt:i4>5</vt:i4>
      </vt:variant>
      <vt:variant>
        <vt:lpwstr/>
      </vt:variant>
      <vt:variant>
        <vt:lpwstr>_Toc122602218</vt:lpwstr>
      </vt:variant>
      <vt:variant>
        <vt:i4>1048625</vt:i4>
      </vt:variant>
      <vt:variant>
        <vt:i4>200</vt:i4>
      </vt:variant>
      <vt:variant>
        <vt:i4>0</vt:i4>
      </vt:variant>
      <vt:variant>
        <vt:i4>5</vt:i4>
      </vt:variant>
      <vt:variant>
        <vt:lpwstr/>
      </vt:variant>
      <vt:variant>
        <vt:lpwstr>_Toc122602217</vt:lpwstr>
      </vt:variant>
      <vt:variant>
        <vt:i4>1048625</vt:i4>
      </vt:variant>
      <vt:variant>
        <vt:i4>194</vt:i4>
      </vt:variant>
      <vt:variant>
        <vt:i4>0</vt:i4>
      </vt:variant>
      <vt:variant>
        <vt:i4>5</vt:i4>
      </vt:variant>
      <vt:variant>
        <vt:lpwstr/>
      </vt:variant>
      <vt:variant>
        <vt:lpwstr>_Toc122602216</vt:lpwstr>
      </vt:variant>
      <vt:variant>
        <vt:i4>1048625</vt:i4>
      </vt:variant>
      <vt:variant>
        <vt:i4>188</vt:i4>
      </vt:variant>
      <vt:variant>
        <vt:i4>0</vt:i4>
      </vt:variant>
      <vt:variant>
        <vt:i4>5</vt:i4>
      </vt:variant>
      <vt:variant>
        <vt:lpwstr/>
      </vt:variant>
      <vt:variant>
        <vt:lpwstr>_Toc122602215</vt:lpwstr>
      </vt:variant>
      <vt:variant>
        <vt:i4>1048625</vt:i4>
      </vt:variant>
      <vt:variant>
        <vt:i4>182</vt:i4>
      </vt:variant>
      <vt:variant>
        <vt:i4>0</vt:i4>
      </vt:variant>
      <vt:variant>
        <vt:i4>5</vt:i4>
      </vt:variant>
      <vt:variant>
        <vt:lpwstr/>
      </vt:variant>
      <vt:variant>
        <vt:lpwstr>_Toc122602214</vt:lpwstr>
      </vt:variant>
      <vt:variant>
        <vt:i4>1048625</vt:i4>
      </vt:variant>
      <vt:variant>
        <vt:i4>176</vt:i4>
      </vt:variant>
      <vt:variant>
        <vt:i4>0</vt:i4>
      </vt:variant>
      <vt:variant>
        <vt:i4>5</vt:i4>
      </vt:variant>
      <vt:variant>
        <vt:lpwstr/>
      </vt:variant>
      <vt:variant>
        <vt:lpwstr>_Toc122602213</vt:lpwstr>
      </vt:variant>
      <vt:variant>
        <vt:i4>1048625</vt:i4>
      </vt:variant>
      <vt:variant>
        <vt:i4>170</vt:i4>
      </vt:variant>
      <vt:variant>
        <vt:i4>0</vt:i4>
      </vt:variant>
      <vt:variant>
        <vt:i4>5</vt:i4>
      </vt:variant>
      <vt:variant>
        <vt:lpwstr/>
      </vt:variant>
      <vt:variant>
        <vt:lpwstr>_Toc122602212</vt:lpwstr>
      </vt:variant>
      <vt:variant>
        <vt:i4>1048625</vt:i4>
      </vt:variant>
      <vt:variant>
        <vt:i4>164</vt:i4>
      </vt:variant>
      <vt:variant>
        <vt:i4>0</vt:i4>
      </vt:variant>
      <vt:variant>
        <vt:i4>5</vt:i4>
      </vt:variant>
      <vt:variant>
        <vt:lpwstr/>
      </vt:variant>
      <vt:variant>
        <vt:lpwstr>_Toc122602211</vt:lpwstr>
      </vt:variant>
      <vt:variant>
        <vt:i4>1048625</vt:i4>
      </vt:variant>
      <vt:variant>
        <vt:i4>158</vt:i4>
      </vt:variant>
      <vt:variant>
        <vt:i4>0</vt:i4>
      </vt:variant>
      <vt:variant>
        <vt:i4>5</vt:i4>
      </vt:variant>
      <vt:variant>
        <vt:lpwstr/>
      </vt:variant>
      <vt:variant>
        <vt:lpwstr>_Toc122602210</vt:lpwstr>
      </vt:variant>
      <vt:variant>
        <vt:i4>1114161</vt:i4>
      </vt:variant>
      <vt:variant>
        <vt:i4>152</vt:i4>
      </vt:variant>
      <vt:variant>
        <vt:i4>0</vt:i4>
      </vt:variant>
      <vt:variant>
        <vt:i4>5</vt:i4>
      </vt:variant>
      <vt:variant>
        <vt:lpwstr/>
      </vt:variant>
      <vt:variant>
        <vt:lpwstr>_Toc122602209</vt:lpwstr>
      </vt:variant>
      <vt:variant>
        <vt:i4>1114161</vt:i4>
      </vt:variant>
      <vt:variant>
        <vt:i4>146</vt:i4>
      </vt:variant>
      <vt:variant>
        <vt:i4>0</vt:i4>
      </vt:variant>
      <vt:variant>
        <vt:i4>5</vt:i4>
      </vt:variant>
      <vt:variant>
        <vt:lpwstr/>
      </vt:variant>
      <vt:variant>
        <vt:lpwstr>_Toc122602208</vt:lpwstr>
      </vt:variant>
      <vt:variant>
        <vt:i4>1114161</vt:i4>
      </vt:variant>
      <vt:variant>
        <vt:i4>140</vt:i4>
      </vt:variant>
      <vt:variant>
        <vt:i4>0</vt:i4>
      </vt:variant>
      <vt:variant>
        <vt:i4>5</vt:i4>
      </vt:variant>
      <vt:variant>
        <vt:lpwstr/>
      </vt:variant>
      <vt:variant>
        <vt:lpwstr>_Toc122602207</vt:lpwstr>
      </vt:variant>
      <vt:variant>
        <vt:i4>1114161</vt:i4>
      </vt:variant>
      <vt:variant>
        <vt:i4>134</vt:i4>
      </vt:variant>
      <vt:variant>
        <vt:i4>0</vt:i4>
      </vt:variant>
      <vt:variant>
        <vt:i4>5</vt:i4>
      </vt:variant>
      <vt:variant>
        <vt:lpwstr/>
      </vt:variant>
      <vt:variant>
        <vt:lpwstr>_Toc122602206</vt:lpwstr>
      </vt:variant>
      <vt:variant>
        <vt:i4>1114161</vt:i4>
      </vt:variant>
      <vt:variant>
        <vt:i4>128</vt:i4>
      </vt:variant>
      <vt:variant>
        <vt:i4>0</vt:i4>
      </vt:variant>
      <vt:variant>
        <vt:i4>5</vt:i4>
      </vt:variant>
      <vt:variant>
        <vt:lpwstr/>
      </vt:variant>
      <vt:variant>
        <vt:lpwstr>_Toc122602205</vt:lpwstr>
      </vt:variant>
      <vt:variant>
        <vt:i4>1114161</vt:i4>
      </vt:variant>
      <vt:variant>
        <vt:i4>122</vt:i4>
      </vt:variant>
      <vt:variant>
        <vt:i4>0</vt:i4>
      </vt:variant>
      <vt:variant>
        <vt:i4>5</vt:i4>
      </vt:variant>
      <vt:variant>
        <vt:lpwstr/>
      </vt:variant>
      <vt:variant>
        <vt:lpwstr>_Toc122602204</vt:lpwstr>
      </vt:variant>
      <vt:variant>
        <vt:i4>1114161</vt:i4>
      </vt:variant>
      <vt:variant>
        <vt:i4>116</vt:i4>
      </vt:variant>
      <vt:variant>
        <vt:i4>0</vt:i4>
      </vt:variant>
      <vt:variant>
        <vt:i4>5</vt:i4>
      </vt:variant>
      <vt:variant>
        <vt:lpwstr/>
      </vt:variant>
      <vt:variant>
        <vt:lpwstr>_Toc122602203</vt:lpwstr>
      </vt:variant>
      <vt:variant>
        <vt:i4>1114161</vt:i4>
      </vt:variant>
      <vt:variant>
        <vt:i4>110</vt:i4>
      </vt:variant>
      <vt:variant>
        <vt:i4>0</vt:i4>
      </vt:variant>
      <vt:variant>
        <vt:i4>5</vt:i4>
      </vt:variant>
      <vt:variant>
        <vt:lpwstr/>
      </vt:variant>
      <vt:variant>
        <vt:lpwstr>_Toc122602202</vt:lpwstr>
      </vt:variant>
      <vt:variant>
        <vt:i4>1114161</vt:i4>
      </vt:variant>
      <vt:variant>
        <vt:i4>104</vt:i4>
      </vt:variant>
      <vt:variant>
        <vt:i4>0</vt:i4>
      </vt:variant>
      <vt:variant>
        <vt:i4>5</vt:i4>
      </vt:variant>
      <vt:variant>
        <vt:lpwstr/>
      </vt:variant>
      <vt:variant>
        <vt:lpwstr>_Toc122602201</vt:lpwstr>
      </vt:variant>
      <vt:variant>
        <vt:i4>1114161</vt:i4>
      </vt:variant>
      <vt:variant>
        <vt:i4>98</vt:i4>
      </vt:variant>
      <vt:variant>
        <vt:i4>0</vt:i4>
      </vt:variant>
      <vt:variant>
        <vt:i4>5</vt:i4>
      </vt:variant>
      <vt:variant>
        <vt:lpwstr/>
      </vt:variant>
      <vt:variant>
        <vt:lpwstr>_Toc122602200</vt:lpwstr>
      </vt:variant>
      <vt:variant>
        <vt:i4>1572914</vt:i4>
      </vt:variant>
      <vt:variant>
        <vt:i4>92</vt:i4>
      </vt:variant>
      <vt:variant>
        <vt:i4>0</vt:i4>
      </vt:variant>
      <vt:variant>
        <vt:i4>5</vt:i4>
      </vt:variant>
      <vt:variant>
        <vt:lpwstr/>
      </vt:variant>
      <vt:variant>
        <vt:lpwstr>_Toc122602199</vt:lpwstr>
      </vt:variant>
      <vt:variant>
        <vt:i4>1572914</vt:i4>
      </vt:variant>
      <vt:variant>
        <vt:i4>86</vt:i4>
      </vt:variant>
      <vt:variant>
        <vt:i4>0</vt:i4>
      </vt:variant>
      <vt:variant>
        <vt:i4>5</vt:i4>
      </vt:variant>
      <vt:variant>
        <vt:lpwstr/>
      </vt:variant>
      <vt:variant>
        <vt:lpwstr>_Toc122602198</vt:lpwstr>
      </vt:variant>
      <vt:variant>
        <vt:i4>1572914</vt:i4>
      </vt:variant>
      <vt:variant>
        <vt:i4>80</vt:i4>
      </vt:variant>
      <vt:variant>
        <vt:i4>0</vt:i4>
      </vt:variant>
      <vt:variant>
        <vt:i4>5</vt:i4>
      </vt:variant>
      <vt:variant>
        <vt:lpwstr/>
      </vt:variant>
      <vt:variant>
        <vt:lpwstr>_Toc122602197</vt:lpwstr>
      </vt:variant>
      <vt:variant>
        <vt:i4>1572914</vt:i4>
      </vt:variant>
      <vt:variant>
        <vt:i4>74</vt:i4>
      </vt:variant>
      <vt:variant>
        <vt:i4>0</vt:i4>
      </vt:variant>
      <vt:variant>
        <vt:i4>5</vt:i4>
      </vt:variant>
      <vt:variant>
        <vt:lpwstr/>
      </vt:variant>
      <vt:variant>
        <vt:lpwstr>_Toc122602196</vt:lpwstr>
      </vt:variant>
      <vt:variant>
        <vt:i4>1572914</vt:i4>
      </vt:variant>
      <vt:variant>
        <vt:i4>68</vt:i4>
      </vt:variant>
      <vt:variant>
        <vt:i4>0</vt:i4>
      </vt:variant>
      <vt:variant>
        <vt:i4>5</vt:i4>
      </vt:variant>
      <vt:variant>
        <vt:lpwstr/>
      </vt:variant>
      <vt:variant>
        <vt:lpwstr>_Toc122602195</vt:lpwstr>
      </vt:variant>
      <vt:variant>
        <vt:i4>1572914</vt:i4>
      </vt:variant>
      <vt:variant>
        <vt:i4>62</vt:i4>
      </vt:variant>
      <vt:variant>
        <vt:i4>0</vt:i4>
      </vt:variant>
      <vt:variant>
        <vt:i4>5</vt:i4>
      </vt:variant>
      <vt:variant>
        <vt:lpwstr/>
      </vt:variant>
      <vt:variant>
        <vt:lpwstr>_Toc122602194</vt:lpwstr>
      </vt:variant>
      <vt:variant>
        <vt:i4>1572914</vt:i4>
      </vt:variant>
      <vt:variant>
        <vt:i4>56</vt:i4>
      </vt:variant>
      <vt:variant>
        <vt:i4>0</vt:i4>
      </vt:variant>
      <vt:variant>
        <vt:i4>5</vt:i4>
      </vt:variant>
      <vt:variant>
        <vt:lpwstr/>
      </vt:variant>
      <vt:variant>
        <vt:lpwstr>_Toc122602193</vt:lpwstr>
      </vt:variant>
      <vt:variant>
        <vt:i4>1572914</vt:i4>
      </vt:variant>
      <vt:variant>
        <vt:i4>50</vt:i4>
      </vt:variant>
      <vt:variant>
        <vt:i4>0</vt:i4>
      </vt:variant>
      <vt:variant>
        <vt:i4>5</vt:i4>
      </vt:variant>
      <vt:variant>
        <vt:lpwstr/>
      </vt:variant>
      <vt:variant>
        <vt:lpwstr>_Toc122602192</vt:lpwstr>
      </vt:variant>
      <vt:variant>
        <vt:i4>1572914</vt:i4>
      </vt:variant>
      <vt:variant>
        <vt:i4>44</vt:i4>
      </vt:variant>
      <vt:variant>
        <vt:i4>0</vt:i4>
      </vt:variant>
      <vt:variant>
        <vt:i4>5</vt:i4>
      </vt:variant>
      <vt:variant>
        <vt:lpwstr/>
      </vt:variant>
      <vt:variant>
        <vt:lpwstr>_Toc122602191</vt:lpwstr>
      </vt:variant>
      <vt:variant>
        <vt:i4>1572914</vt:i4>
      </vt:variant>
      <vt:variant>
        <vt:i4>38</vt:i4>
      </vt:variant>
      <vt:variant>
        <vt:i4>0</vt:i4>
      </vt:variant>
      <vt:variant>
        <vt:i4>5</vt:i4>
      </vt:variant>
      <vt:variant>
        <vt:lpwstr/>
      </vt:variant>
      <vt:variant>
        <vt:lpwstr>_Toc122602190</vt:lpwstr>
      </vt:variant>
      <vt:variant>
        <vt:i4>1638450</vt:i4>
      </vt:variant>
      <vt:variant>
        <vt:i4>32</vt:i4>
      </vt:variant>
      <vt:variant>
        <vt:i4>0</vt:i4>
      </vt:variant>
      <vt:variant>
        <vt:i4>5</vt:i4>
      </vt:variant>
      <vt:variant>
        <vt:lpwstr/>
      </vt:variant>
      <vt:variant>
        <vt:lpwstr>_Toc122602189</vt:lpwstr>
      </vt:variant>
      <vt:variant>
        <vt:i4>1638450</vt:i4>
      </vt:variant>
      <vt:variant>
        <vt:i4>26</vt:i4>
      </vt:variant>
      <vt:variant>
        <vt:i4>0</vt:i4>
      </vt:variant>
      <vt:variant>
        <vt:i4>5</vt:i4>
      </vt:variant>
      <vt:variant>
        <vt:lpwstr/>
      </vt:variant>
      <vt:variant>
        <vt:lpwstr>_Toc122602188</vt:lpwstr>
      </vt:variant>
      <vt:variant>
        <vt:i4>1638450</vt:i4>
      </vt:variant>
      <vt:variant>
        <vt:i4>20</vt:i4>
      </vt:variant>
      <vt:variant>
        <vt:i4>0</vt:i4>
      </vt:variant>
      <vt:variant>
        <vt:i4>5</vt:i4>
      </vt:variant>
      <vt:variant>
        <vt:lpwstr/>
      </vt:variant>
      <vt:variant>
        <vt:lpwstr>_Toc122602187</vt:lpwstr>
      </vt:variant>
      <vt:variant>
        <vt:i4>1638450</vt:i4>
      </vt:variant>
      <vt:variant>
        <vt:i4>14</vt:i4>
      </vt:variant>
      <vt:variant>
        <vt:i4>0</vt:i4>
      </vt:variant>
      <vt:variant>
        <vt:i4>5</vt:i4>
      </vt:variant>
      <vt:variant>
        <vt:lpwstr/>
      </vt:variant>
      <vt:variant>
        <vt:lpwstr>_Toc122602186</vt:lpwstr>
      </vt:variant>
      <vt:variant>
        <vt:i4>1638450</vt:i4>
      </vt:variant>
      <vt:variant>
        <vt:i4>8</vt:i4>
      </vt:variant>
      <vt:variant>
        <vt:i4>0</vt:i4>
      </vt:variant>
      <vt:variant>
        <vt:i4>5</vt:i4>
      </vt:variant>
      <vt:variant>
        <vt:lpwstr/>
      </vt:variant>
      <vt:variant>
        <vt:lpwstr>_Toc122602185</vt:lpwstr>
      </vt:variant>
      <vt:variant>
        <vt:i4>1638450</vt:i4>
      </vt:variant>
      <vt:variant>
        <vt:i4>2</vt:i4>
      </vt:variant>
      <vt:variant>
        <vt:i4>0</vt:i4>
      </vt:variant>
      <vt:variant>
        <vt:i4>5</vt:i4>
      </vt:variant>
      <vt:variant>
        <vt:lpwstr/>
      </vt:variant>
      <vt:variant>
        <vt:lpwstr>_Toc122602184</vt:lpwstr>
      </vt:variant>
      <vt:variant>
        <vt:i4>917585</vt:i4>
      </vt:variant>
      <vt:variant>
        <vt:i4>63</vt:i4>
      </vt:variant>
      <vt:variant>
        <vt:i4>0</vt:i4>
      </vt:variant>
      <vt:variant>
        <vt:i4>5</vt:i4>
      </vt:variant>
      <vt:variant>
        <vt:lpwstr>https://www.foodstandards.gov.au/code/changes/pages/applicationshandbook.aspx</vt:lpwstr>
      </vt:variant>
      <vt:variant>
        <vt:lpwstr/>
      </vt:variant>
      <vt:variant>
        <vt:i4>1048600</vt:i4>
      </vt:variant>
      <vt:variant>
        <vt:i4>60</vt:i4>
      </vt:variant>
      <vt:variant>
        <vt:i4>0</vt:i4>
      </vt:variant>
      <vt:variant>
        <vt:i4>5</vt:i4>
      </vt:variant>
      <vt:variant>
        <vt:lpwstr>https://www.cmaustralia.org.au/resources/CMA-industry-presentation-2020.pdf</vt:lpwstr>
      </vt:variant>
      <vt:variant>
        <vt:lpwstr>:~:text=Sports%20Nutrition%3A%20%241.31%20billion%20Herbal%20%2F,Traditional%20Products%3A%20%240.76billion%20Weight%20loss%3A%20%240.43%20billion</vt:lpwstr>
      </vt:variant>
      <vt:variant>
        <vt:i4>6881379</vt:i4>
      </vt:variant>
      <vt:variant>
        <vt:i4>57</vt:i4>
      </vt:variant>
      <vt:variant>
        <vt:i4>0</vt:i4>
      </vt:variant>
      <vt:variant>
        <vt:i4>5</vt:i4>
      </vt:variant>
      <vt:variant>
        <vt:lpwstr>https://www.nutritionaloutlook.com/view/sports-nutrition-expanding-across-consumers-categories-and-positionings</vt:lpwstr>
      </vt:variant>
      <vt:variant>
        <vt:lpwstr/>
      </vt:variant>
      <vt:variant>
        <vt:i4>3866738</vt:i4>
      </vt:variant>
      <vt:variant>
        <vt:i4>54</vt:i4>
      </vt:variant>
      <vt:variant>
        <vt:i4>0</vt:i4>
      </vt:variant>
      <vt:variant>
        <vt:i4>5</vt:i4>
      </vt:variant>
      <vt:variant>
        <vt:lpwstr>http://www.bccresearch.com/report/FOD043A.html</vt:lpwstr>
      </vt:variant>
      <vt:variant>
        <vt:lpwstr/>
      </vt:variant>
      <vt:variant>
        <vt:i4>1900588</vt:i4>
      </vt:variant>
      <vt:variant>
        <vt:i4>51</vt:i4>
      </vt:variant>
      <vt:variant>
        <vt:i4>0</vt:i4>
      </vt:variant>
      <vt:variant>
        <vt:i4>5</vt:i4>
      </vt:variant>
      <vt:variant>
        <vt:lpwstr>https://www.sfa.gov.sg/docs/default-source/legislation/sale-of-food-act/food_regulations.pdf</vt:lpwstr>
      </vt:variant>
      <vt:variant>
        <vt:lpwstr/>
      </vt:variant>
      <vt:variant>
        <vt:i4>1114116</vt:i4>
      </vt:variant>
      <vt:variant>
        <vt:i4>48</vt:i4>
      </vt:variant>
      <vt:variant>
        <vt:i4>0</vt:i4>
      </vt:variant>
      <vt:variant>
        <vt:i4>5</vt:i4>
      </vt:variant>
      <vt:variant>
        <vt:lpwstr>https://webprod.hc-sc.gc.ca/nhpid-bdipsn/atReq.do?atid=workout.supplements.entrainement&amp;h</vt:lpwstr>
      </vt:variant>
      <vt:variant>
        <vt:lpwstr/>
      </vt:variant>
      <vt:variant>
        <vt:i4>2031680</vt:i4>
      </vt:variant>
      <vt:variant>
        <vt:i4>45</vt:i4>
      </vt:variant>
      <vt:variant>
        <vt:i4>0</vt:i4>
      </vt:variant>
      <vt:variant>
        <vt:i4>5</vt:i4>
      </vt:variant>
      <vt:variant>
        <vt:lpwstr>https://www.fda.gov/food/dietary-supplement-products-ingredients/dietary-supplement-ingredient-advisory-list</vt:lpwstr>
      </vt:variant>
      <vt:variant>
        <vt:lpwstr/>
      </vt:variant>
      <vt:variant>
        <vt:i4>917509</vt:i4>
      </vt:variant>
      <vt:variant>
        <vt:i4>42</vt:i4>
      </vt:variant>
      <vt:variant>
        <vt:i4>0</vt:i4>
      </vt:variant>
      <vt:variant>
        <vt:i4>5</vt:i4>
      </vt:variant>
      <vt:variant>
        <vt:lpwstr>https://www.fda.gov/food/dietary-supplements/dietary-supplement-products-ingredients</vt:lpwstr>
      </vt:variant>
      <vt:variant>
        <vt:lpwstr/>
      </vt:variant>
      <vt:variant>
        <vt:i4>3080252</vt:i4>
      </vt:variant>
      <vt:variant>
        <vt:i4>39</vt:i4>
      </vt:variant>
      <vt:variant>
        <vt:i4>0</vt:i4>
      </vt:variant>
      <vt:variant>
        <vt:i4>5</vt:i4>
      </vt:variant>
      <vt:variant>
        <vt:lpwstr>https://aus01.safelinks.protection.outlook.com/?url=https%3A%2F%2Feur-lex.europa.eu%2Flegal-content%2FEN%2FTXT%2FPDF%2F%3Furi%3DCELEX%3A32015R2283%26from%3DEN&amp;data=05%7C01%7CZoe.Morosini%40foodstandards.gov.au%7Cb7fa7ab7348c470832e008dad0d202a7%7C6deea5ad8e7945b888fe895f2bb48673%7C0%7C0%7C638051897648527219%7CUnknown%7CTWFpbGZsb3d8eyJWIjoiMC4wLjAwMDAiLCJQIjoiV2luMzIiLCJBTiI6Ik1haWwiLCJXVCI6Mn0%3D%7C3000%7C%7C%7C&amp;sdata=19Q%2B%2FM9I92hQpu52q%2FAPyJxEvm99z2zpW376LFhjnLM%3D&amp;reserved=0</vt:lpwstr>
      </vt:variant>
      <vt:variant>
        <vt:lpwstr/>
      </vt:variant>
      <vt:variant>
        <vt:i4>7209056</vt:i4>
      </vt:variant>
      <vt:variant>
        <vt:i4>36</vt:i4>
      </vt:variant>
      <vt:variant>
        <vt:i4>0</vt:i4>
      </vt:variant>
      <vt:variant>
        <vt:i4>5</vt:i4>
      </vt:variant>
      <vt:variant>
        <vt:lpwstr>https://eur-lex.europa.eu/legal-content/EN/ALL/?uri=CELEX%3A32011R1169</vt:lpwstr>
      </vt:variant>
      <vt:variant>
        <vt:lpwstr/>
      </vt:variant>
      <vt:variant>
        <vt:i4>7274532</vt:i4>
      </vt:variant>
      <vt:variant>
        <vt:i4>33</vt:i4>
      </vt:variant>
      <vt:variant>
        <vt:i4>0</vt:i4>
      </vt:variant>
      <vt:variant>
        <vt:i4>5</vt:i4>
      </vt:variant>
      <vt:variant>
        <vt:lpwstr>http://eur-lex.europa.eu/LexUriServ/LexUriServ.do?uri=CONSLEG:2006R1925:20091221:EN:PDF</vt:lpwstr>
      </vt:variant>
      <vt:variant>
        <vt:lpwstr/>
      </vt:variant>
      <vt:variant>
        <vt:i4>524339</vt:i4>
      </vt:variant>
      <vt:variant>
        <vt:i4>30</vt:i4>
      </vt:variant>
      <vt:variant>
        <vt:i4>0</vt:i4>
      </vt:variant>
      <vt:variant>
        <vt:i4>5</vt:i4>
      </vt:variant>
      <vt:variant>
        <vt:lpwstr>https://food.ec.europa.eu/safety/labelling-and-nutrition/addition-vitamins-and-minerals_en</vt:lpwstr>
      </vt:variant>
      <vt:variant>
        <vt:lpwstr/>
      </vt:variant>
      <vt:variant>
        <vt:i4>6225942</vt:i4>
      </vt:variant>
      <vt:variant>
        <vt:i4>27</vt:i4>
      </vt:variant>
      <vt:variant>
        <vt:i4>0</vt:i4>
      </vt:variant>
      <vt:variant>
        <vt:i4>5</vt:i4>
      </vt:variant>
      <vt:variant>
        <vt:lpwstr>http://eur-lex.europa.eu/LexUriServ/LexUriServ.do?uri=OJ:L:2006:404:0009:0025:EN:PDF</vt:lpwstr>
      </vt:variant>
      <vt:variant>
        <vt:lpwstr/>
      </vt:variant>
      <vt:variant>
        <vt:i4>7209056</vt:i4>
      </vt:variant>
      <vt:variant>
        <vt:i4>24</vt:i4>
      </vt:variant>
      <vt:variant>
        <vt:i4>0</vt:i4>
      </vt:variant>
      <vt:variant>
        <vt:i4>5</vt:i4>
      </vt:variant>
      <vt:variant>
        <vt:lpwstr>https://eur-lex.europa.eu/legal-content/EN/ALL/?uri=CELEX%3A32011R1169</vt:lpwstr>
      </vt:variant>
      <vt:variant>
        <vt:lpwstr/>
      </vt:variant>
      <vt:variant>
        <vt:i4>7274532</vt:i4>
      </vt:variant>
      <vt:variant>
        <vt:i4>21</vt:i4>
      </vt:variant>
      <vt:variant>
        <vt:i4>0</vt:i4>
      </vt:variant>
      <vt:variant>
        <vt:i4>5</vt:i4>
      </vt:variant>
      <vt:variant>
        <vt:lpwstr>http://eur-lex.europa.eu/LexUriServ/LexUriServ.do?uri=CONSLEG:2006R1925:20091221:EN:PDF</vt:lpwstr>
      </vt:variant>
      <vt:variant>
        <vt:lpwstr/>
      </vt:variant>
      <vt:variant>
        <vt:i4>4456517</vt:i4>
      </vt:variant>
      <vt:variant>
        <vt:i4>18</vt:i4>
      </vt:variant>
      <vt:variant>
        <vt:i4>0</vt:i4>
      </vt:variant>
      <vt:variant>
        <vt:i4>5</vt:i4>
      </vt:variant>
      <vt:variant>
        <vt:lpwstr>https://ec.europa.eu/transparency/documents-register/detail?ref=COM(2016)402&amp;lang=en</vt:lpwstr>
      </vt:variant>
      <vt:variant>
        <vt:lpwstr/>
      </vt:variant>
      <vt:variant>
        <vt:i4>6225934</vt:i4>
      </vt:variant>
      <vt:variant>
        <vt:i4>15</vt:i4>
      </vt:variant>
      <vt:variant>
        <vt:i4>0</vt:i4>
      </vt:variant>
      <vt:variant>
        <vt:i4>5</vt:i4>
      </vt:variant>
      <vt:variant>
        <vt:lpwstr>https://www.fao.org/fao-who-codexalimentarius/sh-proxy/en/?lnk=1&amp;url=https%253A%252F%252Fworkspace.fao.org%252Fsites%252Fcodex%252FStandards%252FCXG%2B9-1987%252FCXG_009e_2015.pdf</vt:lpwstr>
      </vt:variant>
      <vt:variant>
        <vt:lpwstr/>
      </vt:variant>
      <vt:variant>
        <vt:i4>4718707</vt:i4>
      </vt:variant>
      <vt:variant>
        <vt:i4>12</vt:i4>
      </vt:variant>
      <vt:variant>
        <vt:i4>0</vt:i4>
      </vt:variant>
      <vt:variant>
        <vt:i4>5</vt:i4>
      </vt:variant>
      <vt:variant>
        <vt:lpwstr>https://www.canada.ca/content/dam/hc-sc/migration/hc-sc/fn-an/alt_formats/hpfb-dgpsa/pdf/intactivit/vit_min_sup-eng.pdf</vt:lpwstr>
      </vt:variant>
      <vt:variant>
        <vt:lpwstr/>
      </vt:variant>
      <vt:variant>
        <vt:i4>6357027</vt:i4>
      </vt:variant>
      <vt:variant>
        <vt:i4>9</vt:i4>
      </vt:variant>
      <vt:variant>
        <vt:i4>0</vt:i4>
      </vt:variant>
      <vt:variant>
        <vt:i4>5</vt:i4>
      </vt:variant>
      <vt:variant>
        <vt:lpwstr>https://foodregulation.gov.au/internet/fr/publishing.nsf/Content/8809C2329ABEFD18CA25801B00100EAA/$File/Policy Guideline-Part 2.9 of the Code-Special Purpose Foods.pdf</vt:lpwstr>
      </vt:variant>
      <vt:variant>
        <vt:lpwstr/>
      </vt:variant>
      <vt:variant>
        <vt:i4>1245184</vt:i4>
      </vt:variant>
      <vt:variant>
        <vt:i4>6</vt:i4>
      </vt:variant>
      <vt:variant>
        <vt:i4>0</vt:i4>
      </vt:variant>
      <vt:variant>
        <vt:i4>5</vt:i4>
      </vt:variant>
      <vt:variant>
        <vt:lpwstr>https://www.tga.gov.au/food-medicine-interface-guidance-tool-fmigt-0</vt:lpwstr>
      </vt:variant>
      <vt:variant>
        <vt:lpwstr/>
      </vt:variant>
      <vt:variant>
        <vt:i4>1441878</vt:i4>
      </vt:variant>
      <vt:variant>
        <vt:i4>3</vt:i4>
      </vt:variant>
      <vt:variant>
        <vt:i4>0</vt:i4>
      </vt:variant>
      <vt:variant>
        <vt:i4>5</vt:i4>
      </vt:variant>
      <vt:variant>
        <vt:lpwstr>https://www.mpi.govt.nz/dmsdocument/13092-draft-supplemented-food-standard-user-guide</vt:lpwstr>
      </vt:variant>
      <vt:variant>
        <vt:lpwstr/>
      </vt:variant>
      <vt:variant>
        <vt:i4>917585</vt:i4>
      </vt:variant>
      <vt:variant>
        <vt:i4>0</vt:i4>
      </vt:variant>
      <vt:variant>
        <vt:i4>0</vt:i4>
      </vt:variant>
      <vt:variant>
        <vt:i4>5</vt:i4>
      </vt:variant>
      <vt:variant>
        <vt:lpwstr>https://www.foodstandards.gov.au/code/changes/pages/applicationshandbook.aspx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kennem</dc:creator>
  <cp:keywords/>
  <cp:lastModifiedBy>Tailee Vecchi</cp:lastModifiedBy>
  <cp:revision>3</cp:revision>
  <cp:lastPrinted>2011-08-23T10:30:00Z</cp:lastPrinted>
  <dcterms:created xsi:type="dcterms:W3CDTF">2023-01-24T02:23:00Z</dcterms:created>
  <dcterms:modified xsi:type="dcterms:W3CDTF">2023-01-24T02:23:00Z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8d41898d-7b37-405b-9eb5-f5223c57b4b3</vt:lpwstr>
  </property>
  <property fmtid="{D5CDD505-2E9C-101B-9397-08002B2CF9AE}" pid="3" name="bjSaver">
    <vt:lpwstr>LlgSMo3yJ+fkgNEgbtQQbG6KKfc49ivc</vt:lpwstr>
  </property>
  <property fmtid="{D5CDD505-2E9C-101B-9397-08002B2CF9AE}" pid="4"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5" name="bjDocumentLabelXML-0">
    <vt:lpwstr>ames.com/2008/01/sie/internal/label"&gt;&lt;element uid="dd6c74cc-0de9-4a0a-85ef-439e2ceecf74" value="" /&gt;&lt;/sisl&gt;</vt:lpwstr>
  </property>
  <property fmtid="{D5CDD505-2E9C-101B-9397-08002B2CF9AE}" pid="6" name="bjDocumentSecurityLabel">
    <vt:lpwstr>OFFICIAL</vt:lpwstr>
  </property>
  <property fmtid="{D5CDD505-2E9C-101B-9397-08002B2CF9AE}" pid="7" name="bjHeaderBothDocProperty">
    <vt:lpwstr>OFFICIAL_x000d_
 </vt:lpwstr>
  </property>
  <property fmtid="{D5CDD505-2E9C-101B-9397-08002B2CF9AE}" pid="8" name="bjHeaderFirstPageDocProperty">
    <vt:lpwstr>OFFICIAL_x000d_
 </vt:lpwstr>
  </property>
  <property fmtid="{D5CDD505-2E9C-101B-9397-08002B2CF9AE}" pid="9" name="bjHeaderEvenPageDocProperty">
    <vt:lpwstr>OFFICIAL_x000d_
 </vt:lpwstr>
  </property>
  <property fmtid="{D5CDD505-2E9C-101B-9397-08002B2CF9AE}" pid="10" name="bjFooterBothDocProperty">
    <vt:lpwstr>_x000d_
OFFICIAL </vt:lpwstr>
  </property>
  <property fmtid="{D5CDD505-2E9C-101B-9397-08002B2CF9AE}" pid="11" name="bjFooterFirstPageDocProperty">
    <vt:lpwstr>_x000d_
OFFICIAL </vt:lpwstr>
  </property>
  <property fmtid="{D5CDD505-2E9C-101B-9397-08002B2CF9AE}" pid="12" name="bjFooterEvenPageDocProperty">
    <vt:lpwstr>_x000d_
OFFICIAL </vt:lpwstr>
  </property>
  <property fmtid="{D5CDD505-2E9C-101B-9397-08002B2CF9AE}" pid="13" name="ContentTypeId">
    <vt:lpwstr>0x010100FB86A4CA77FAD24FB4C8632D8CBF0C4A</vt:lpwstr>
  </property>
  <property fmtid="{D5CDD505-2E9C-101B-9397-08002B2CF9AE}" pid="14" name="Classification">
    <vt:lpwstr>1;#OFFICIAL|3776503d-ed4e-4d70-8dfd-8e17b238523b</vt:lpwstr>
  </property>
  <property fmtid="{D5CDD505-2E9C-101B-9397-08002B2CF9AE}" pid="15" name="pd3a3559ef84480a8025c4c7bb6e6dee">
    <vt:lpwstr/>
  </property>
  <property fmtid="{D5CDD505-2E9C-101B-9397-08002B2CF9AE}" pid="16" name="h46016694f704d158a57d0b5238c000e">
    <vt:lpwstr/>
  </property>
  <property fmtid="{D5CDD505-2E9C-101B-9397-08002B2CF9AE}" pid="17" name="Data_x0020_Privacy">
    <vt:lpwstr/>
  </property>
  <property fmtid="{D5CDD505-2E9C-101B-9397-08002B2CF9AE}" pid="18" name="BCS">
    <vt:lpwstr>3;#Consultation|5fd28b2d-a9ca-4909-8de5-88c1873981a6</vt:lpwstr>
  </property>
  <property fmtid="{D5CDD505-2E9C-101B-9397-08002B2CF9AE}" pid="19" name="Access">
    <vt:lpwstr/>
  </property>
  <property fmtid="{D5CDD505-2E9C-101B-9397-08002B2CF9AE}" pid="20" name="Data_x0020_Category">
    <vt:lpwstr/>
  </property>
  <property fmtid="{D5CDD505-2E9C-101B-9397-08002B2CF9AE}" pid="21" name="Data_x0020_Accessibility">
    <vt:lpwstr/>
  </property>
  <property fmtid="{D5CDD505-2E9C-101B-9397-08002B2CF9AE}" pid="22" name="o2e94e0b7bb742308b3aec7384781dc0">
    <vt:lpwstr/>
  </property>
  <property fmtid="{D5CDD505-2E9C-101B-9397-08002B2CF9AE}" pid="23" name="Data Privacy">
    <vt:lpwstr/>
  </property>
  <property fmtid="{D5CDD505-2E9C-101B-9397-08002B2CF9AE}" pid="24" name="Data Accessibility">
    <vt:lpwstr/>
  </property>
  <property fmtid="{D5CDD505-2E9C-101B-9397-08002B2CF9AE}" pid="25" name="Data Category">
    <vt:lpwstr/>
  </property>
  <property fmtid="{D5CDD505-2E9C-101B-9397-08002B2CF9AE}" pid="26" name="SharedWithUsers">
    <vt:lpwstr>34;#Zoe Morosini;#18;#Emma Breen;#25;#Michelle Kennedy</vt:lpwstr>
  </property>
</Properties>
</file>